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E99B8" w14:textId="08DB6D6F" w:rsidR="00E14F0E" w:rsidRDefault="00E14F0E">
      <w:r w:rsidRPr="00E14F0E">
        <mc:AlternateContent>
          <mc:Choice Requires="wps">
            <w:drawing>
              <wp:anchor distT="0" distB="0" distL="114300" distR="114300" simplePos="0" relativeHeight="251659264" behindDoc="0" locked="0" layoutInCell="1" allowOverlap="1" wp14:anchorId="20715BD7" wp14:editId="43134946">
                <wp:simplePos x="0" y="0"/>
                <wp:positionH relativeFrom="margin">
                  <wp:posOffset>276885</wp:posOffset>
                </wp:positionH>
                <wp:positionV relativeFrom="paragraph">
                  <wp:posOffset>942950</wp:posOffset>
                </wp:positionV>
                <wp:extent cx="4986654" cy="3689131"/>
                <wp:effectExtent l="0" t="0" r="0" b="0"/>
                <wp:wrapNone/>
                <wp:docPr id="4" name="Subtitle 2">
                  <a:extLst xmlns:a="http://schemas.openxmlformats.org/drawingml/2006/main">
                    <a:ext uri="{FF2B5EF4-FFF2-40B4-BE49-F238E27FC236}">
                      <a16:creationId xmlns:a16="http://schemas.microsoft.com/office/drawing/2014/main" id="{D2F24DEE-2044-611A-FEE4-817EE519C5A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6654" cy="3689131"/>
                        </a:xfrm>
                        <a:prstGeom prst="rect">
                          <a:avLst/>
                        </a:prstGeom>
                      </wps:spPr>
                      <wps:txbx>
                        <w:txbxContent>
                          <w:p w14:paraId="3B6B8C2B" w14:textId="77777777" w:rsidR="00E14F0E" w:rsidRDefault="00E14F0E" w:rsidP="00E14F0E">
                            <w:pPr>
                              <w:spacing w:before="200" w:line="216" w:lineRule="auto"/>
                              <w:jc w:val="center"/>
                              <w:rPr>
                                <w:rFonts w:ascii="Times" w:hAnsi="Times"/>
                                <w:b/>
                                <w:bCs/>
                                <w:color w:val="000000" w:themeColor="text1"/>
                                <w:kern w:val="24"/>
                                <w:sz w:val="76"/>
                                <w:szCs w:val="76"/>
                              </w:rPr>
                            </w:pPr>
                            <w:r w:rsidRPr="00E14F0E">
                              <w:rPr>
                                <w:rFonts w:ascii="Times" w:hAnsi="Times"/>
                                <w:b/>
                                <w:bCs/>
                                <w:color w:val="000000" w:themeColor="text1"/>
                                <w:kern w:val="24"/>
                                <w:sz w:val="76"/>
                                <w:szCs w:val="76"/>
                              </w:rPr>
                              <w:t>Products Differences</w:t>
                            </w:r>
                          </w:p>
                          <w:p w14:paraId="0E8DAE53" w14:textId="77777777" w:rsidR="00E14F0E" w:rsidRPr="00E14F0E" w:rsidRDefault="00E14F0E" w:rsidP="00E14F0E">
                            <w:pPr>
                              <w:spacing w:before="200" w:line="216" w:lineRule="auto"/>
                              <w:jc w:val="center"/>
                              <w:rPr>
                                <w:rFonts w:ascii="Times" w:hAnsi="Times"/>
                                <w:b/>
                                <w:bCs/>
                                <w:color w:val="000000" w:themeColor="text1"/>
                                <w:kern w:val="24"/>
                                <w:sz w:val="76"/>
                                <w:szCs w:val="76"/>
                                <w14:ligatures w14:val="none"/>
                              </w:rPr>
                            </w:pPr>
                          </w:p>
                          <w:p w14:paraId="4E48720F" w14:textId="77777777" w:rsidR="00E14F0E" w:rsidRDefault="00E14F0E" w:rsidP="00E14F0E">
                            <w:pPr>
                              <w:spacing w:before="200" w:line="216" w:lineRule="auto"/>
                              <w:jc w:val="center"/>
                              <w:rPr>
                                <w:rFonts w:ascii="Times" w:hAnsi="Times"/>
                                <w:b/>
                                <w:bCs/>
                                <w:color w:val="000000" w:themeColor="text1"/>
                                <w:kern w:val="24"/>
                                <w:sz w:val="68"/>
                                <w:szCs w:val="68"/>
                              </w:rPr>
                            </w:pPr>
                            <w:r w:rsidRPr="00E14F0E">
                              <w:rPr>
                                <w:rFonts w:ascii="Times" w:hAnsi="Times"/>
                                <w:b/>
                                <w:bCs/>
                                <w:color w:val="000000" w:themeColor="text1"/>
                                <w:kern w:val="24"/>
                                <w:sz w:val="68"/>
                                <w:szCs w:val="68"/>
                              </w:rPr>
                              <w:t xml:space="preserve">Islamic Banking </w:t>
                            </w:r>
                          </w:p>
                          <w:p w14:paraId="2F9D30D0" w14:textId="77777777" w:rsidR="00E14F0E" w:rsidRDefault="00E14F0E" w:rsidP="00E14F0E">
                            <w:pPr>
                              <w:spacing w:before="200" w:line="216" w:lineRule="auto"/>
                              <w:jc w:val="center"/>
                              <w:rPr>
                                <w:rFonts w:ascii="Times" w:hAnsi="Times"/>
                                <w:b/>
                                <w:bCs/>
                                <w:color w:val="000000" w:themeColor="text1"/>
                                <w:kern w:val="24"/>
                                <w:sz w:val="68"/>
                                <w:szCs w:val="68"/>
                              </w:rPr>
                            </w:pPr>
                            <w:r w:rsidRPr="00E14F0E">
                              <w:rPr>
                                <w:rFonts w:ascii="Times" w:hAnsi="Times"/>
                                <w:b/>
                                <w:bCs/>
                                <w:color w:val="000000" w:themeColor="text1"/>
                                <w:kern w:val="24"/>
                                <w:sz w:val="68"/>
                                <w:szCs w:val="68"/>
                              </w:rPr>
                              <w:t xml:space="preserve">Viz </w:t>
                            </w:r>
                          </w:p>
                          <w:p w14:paraId="27ED2597" w14:textId="4C4C8BD4" w:rsidR="00E14F0E" w:rsidRPr="00E14F0E" w:rsidRDefault="00E14F0E" w:rsidP="00E14F0E">
                            <w:pPr>
                              <w:spacing w:before="200" w:line="216" w:lineRule="auto"/>
                              <w:jc w:val="center"/>
                              <w:rPr>
                                <w:rFonts w:ascii="Times" w:hAnsi="Times"/>
                                <w:b/>
                                <w:bCs/>
                                <w:color w:val="000000" w:themeColor="text1"/>
                                <w:kern w:val="24"/>
                                <w:sz w:val="68"/>
                                <w:szCs w:val="68"/>
                              </w:rPr>
                            </w:pPr>
                            <w:r w:rsidRPr="00E14F0E">
                              <w:rPr>
                                <w:rFonts w:ascii="Times" w:hAnsi="Times"/>
                                <w:b/>
                                <w:bCs/>
                                <w:color w:val="000000" w:themeColor="text1"/>
                                <w:kern w:val="24"/>
                                <w:sz w:val="68"/>
                                <w:szCs w:val="68"/>
                              </w:rPr>
                              <w:t>Conventional Banking</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type w14:anchorId="20715BD7" id="_x0000_t202" coordsize="21600,21600" o:spt="202" path="m,l,21600r21600,l21600,xe">
                <v:stroke joinstyle="miter"/>
                <v:path gradientshapeok="t" o:connecttype="rect"/>
              </v:shapetype>
              <v:shape id="Subtitle 2" o:spid="_x0000_s1026" type="#_x0000_t202" style="position:absolute;margin-left:21.8pt;margin-top:74.25pt;width:392.65pt;height:29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Ey0pwEAADgDAAAOAAAAZHJzL2Uyb0RvYy54bWysUsGO0zAQvSPxD5bv1E03W9qo6QpYgZBW&#10;LNLCB7iO3UTEHuNxm5SvZ+yGdoEb4mJ7POPn997M5m60PTvqgB24mhezOWfaKWg6t6/51y/vX604&#10;wyhdI3twuuYnjfxu+/LFZvCVXkALfaMDIxCH1eBr3sboKyFQtdpKnIHXjpIGgpWRwrAXTZADodte&#10;LObzpRggND6A0oh0e39O8m3GN0ar+GgM6sj6mhO3mNeQ111axXYjq32Qvu3UREP+AwsrO0efXqDu&#10;ZZTsELq/oGynAiCYOFNgBRjTKZ01kJpi/oeap1Z6nbWQOegvNuH/g1Wfjk/+c2BxfAsjNTCLQP8A&#10;6huSN2LwWE01yVOskKqT0NEEm3aSwOgheXu6+KnHyBRdluvVcnlbcqYod7NcrYubIjkurs99wPhB&#10;g2XpUPNADcsU5PEB47n0V8nE5kwgUYnjbqSSdNxBcyIVNIgE0kL4wdlATa05fj/IoDnrPzpybV2U&#10;ZZqCHJS3rxcUhOeZ3W+Z2L+DPDdJqIM3hwimy6yuf06sqD1Z1zRKqf/P41x1HfjtTwAAAP//AwBQ&#10;SwMEFAAGAAgAAAAhAI/8YC/fAAAACgEAAA8AAABkcnMvZG93bnJldi54bWxMj01PwzAMhu9I/IfI&#10;SNxYQmlHW5pOCMQVtPEhccsar61onKrJ1vLvMSc42n70+nmrzeIGccIp9J40XK8UCKTG255aDW+v&#10;T1c5iBANWTN4Qg3fGGBTn59VprR+pi2edrEVHEKhNBq6GMdSytB06ExY+RGJbwc/ORN5nFppJzNz&#10;uBtkotRaOtMTf+jMiA8dNl+7o9Pw/nz4/EjVS/vosnH2i5LkCqn15cVyfwci4hL/YPjVZ3Wo2Wnv&#10;j2SDGDSkN2smeZ/mGQgG8iQvQOw13CZFBrKu5P8K9Q8AAAD//wMAUEsBAi0AFAAGAAgAAAAhALaD&#10;OJL+AAAA4QEAABMAAAAAAAAAAAAAAAAAAAAAAFtDb250ZW50X1R5cGVzXS54bWxQSwECLQAUAAYA&#10;CAAAACEAOP0h/9YAAACUAQAACwAAAAAAAAAAAAAAAAAvAQAAX3JlbHMvLnJlbHNQSwECLQAUAAYA&#10;CAAAACEAG9xMtKcBAAA4AwAADgAAAAAAAAAAAAAAAAAuAgAAZHJzL2Uyb0RvYy54bWxQSwECLQAU&#10;AAYACAAAACEAj/xgL98AAAAKAQAADwAAAAAAAAAAAAAAAAABBAAAZHJzL2Rvd25yZXYueG1sUEsF&#10;BgAAAAAEAAQA8wAAAA0FAAAAAA==&#10;" filled="f" stroked="f">
                <v:textbox>
                  <w:txbxContent>
                    <w:p w14:paraId="3B6B8C2B" w14:textId="77777777" w:rsidR="00E14F0E" w:rsidRDefault="00E14F0E" w:rsidP="00E14F0E">
                      <w:pPr>
                        <w:spacing w:before="200" w:line="216" w:lineRule="auto"/>
                        <w:jc w:val="center"/>
                        <w:rPr>
                          <w:rFonts w:ascii="Times" w:hAnsi="Times"/>
                          <w:b/>
                          <w:bCs/>
                          <w:color w:val="000000" w:themeColor="text1"/>
                          <w:kern w:val="24"/>
                          <w:sz w:val="76"/>
                          <w:szCs w:val="76"/>
                        </w:rPr>
                      </w:pPr>
                      <w:r w:rsidRPr="00E14F0E">
                        <w:rPr>
                          <w:rFonts w:ascii="Times" w:hAnsi="Times"/>
                          <w:b/>
                          <w:bCs/>
                          <w:color w:val="000000" w:themeColor="text1"/>
                          <w:kern w:val="24"/>
                          <w:sz w:val="76"/>
                          <w:szCs w:val="76"/>
                        </w:rPr>
                        <w:t>Products Differences</w:t>
                      </w:r>
                    </w:p>
                    <w:p w14:paraId="0E8DAE53" w14:textId="77777777" w:rsidR="00E14F0E" w:rsidRPr="00E14F0E" w:rsidRDefault="00E14F0E" w:rsidP="00E14F0E">
                      <w:pPr>
                        <w:spacing w:before="200" w:line="216" w:lineRule="auto"/>
                        <w:jc w:val="center"/>
                        <w:rPr>
                          <w:rFonts w:ascii="Times" w:hAnsi="Times"/>
                          <w:b/>
                          <w:bCs/>
                          <w:color w:val="000000" w:themeColor="text1"/>
                          <w:kern w:val="24"/>
                          <w:sz w:val="76"/>
                          <w:szCs w:val="76"/>
                          <w14:ligatures w14:val="none"/>
                        </w:rPr>
                      </w:pPr>
                    </w:p>
                    <w:p w14:paraId="4E48720F" w14:textId="77777777" w:rsidR="00E14F0E" w:rsidRDefault="00E14F0E" w:rsidP="00E14F0E">
                      <w:pPr>
                        <w:spacing w:before="200" w:line="216" w:lineRule="auto"/>
                        <w:jc w:val="center"/>
                        <w:rPr>
                          <w:rFonts w:ascii="Times" w:hAnsi="Times"/>
                          <w:b/>
                          <w:bCs/>
                          <w:color w:val="000000" w:themeColor="text1"/>
                          <w:kern w:val="24"/>
                          <w:sz w:val="68"/>
                          <w:szCs w:val="68"/>
                        </w:rPr>
                      </w:pPr>
                      <w:r w:rsidRPr="00E14F0E">
                        <w:rPr>
                          <w:rFonts w:ascii="Times" w:hAnsi="Times"/>
                          <w:b/>
                          <w:bCs/>
                          <w:color w:val="000000" w:themeColor="text1"/>
                          <w:kern w:val="24"/>
                          <w:sz w:val="68"/>
                          <w:szCs w:val="68"/>
                        </w:rPr>
                        <w:t xml:space="preserve">Islamic Banking </w:t>
                      </w:r>
                    </w:p>
                    <w:p w14:paraId="2F9D30D0" w14:textId="77777777" w:rsidR="00E14F0E" w:rsidRDefault="00E14F0E" w:rsidP="00E14F0E">
                      <w:pPr>
                        <w:spacing w:before="200" w:line="216" w:lineRule="auto"/>
                        <w:jc w:val="center"/>
                        <w:rPr>
                          <w:rFonts w:ascii="Times" w:hAnsi="Times"/>
                          <w:b/>
                          <w:bCs/>
                          <w:color w:val="000000" w:themeColor="text1"/>
                          <w:kern w:val="24"/>
                          <w:sz w:val="68"/>
                          <w:szCs w:val="68"/>
                        </w:rPr>
                      </w:pPr>
                      <w:r w:rsidRPr="00E14F0E">
                        <w:rPr>
                          <w:rFonts w:ascii="Times" w:hAnsi="Times"/>
                          <w:b/>
                          <w:bCs/>
                          <w:color w:val="000000" w:themeColor="text1"/>
                          <w:kern w:val="24"/>
                          <w:sz w:val="68"/>
                          <w:szCs w:val="68"/>
                        </w:rPr>
                        <w:t xml:space="preserve">Viz </w:t>
                      </w:r>
                    </w:p>
                    <w:p w14:paraId="27ED2597" w14:textId="4C4C8BD4" w:rsidR="00E14F0E" w:rsidRPr="00E14F0E" w:rsidRDefault="00E14F0E" w:rsidP="00E14F0E">
                      <w:pPr>
                        <w:spacing w:before="200" w:line="216" w:lineRule="auto"/>
                        <w:jc w:val="center"/>
                        <w:rPr>
                          <w:rFonts w:ascii="Times" w:hAnsi="Times"/>
                          <w:b/>
                          <w:bCs/>
                          <w:color w:val="000000" w:themeColor="text1"/>
                          <w:kern w:val="24"/>
                          <w:sz w:val="68"/>
                          <w:szCs w:val="68"/>
                        </w:rPr>
                      </w:pPr>
                      <w:r w:rsidRPr="00E14F0E">
                        <w:rPr>
                          <w:rFonts w:ascii="Times" w:hAnsi="Times"/>
                          <w:b/>
                          <w:bCs/>
                          <w:color w:val="000000" w:themeColor="text1"/>
                          <w:kern w:val="24"/>
                          <w:sz w:val="68"/>
                          <w:szCs w:val="68"/>
                        </w:rPr>
                        <w:t>Conventional Banking</w:t>
                      </w:r>
                    </w:p>
                  </w:txbxContent>
                </v:textbox>
                <w10:wrap anchorx="margin"/>
              </v:shape>
            </w:pict>
          </mc:Fallback>
        </mc:AlternateContent>
      </w:r>
      <w:r>
        <w:br w:type="page"/>
      </w:r>
    </w:p>
    <w:tbl>
      <w:tblPr>
        <w:tblStyle w:val="TableGrid"/>
        <w:tblW w:w="10074" w:type="dxa"/>
        <w:tblInd w:w="-275" w:type="dxa"/>
        <w:tblLook w:val="04A0" w:firstRow="1" w:lastRow="0" w:firstColumn="1" w:lastColumn="0" w:noHBand="0" w:noVBand="1"/>
      </w:tblPr>
      <w:tblGrid>
        <w:gridCol w:w="1054"/>
        <w:gridCol w:w="4346"/>
        <w:gridCol w:w="4674"/>
      </w:tblGrid>
      <w:tr w:rsidR="00E14F0E" w:rsidRPr="00E14F0E" w14:paraId="30F0298E" w14:textId="77777777" w:rsidTr="00E14F0E">
        <w:trPr>
          <w:trHeight w:val="643"/>
        </w:trPr>
        <w:tc>
          <w:tcPr>
            <w:tcW w:w="10074" w:type="dxa"/>
            <w:gridSpan w:val="3"/>
            <w:shd w:val="clear" w:color="auto" w:fill="E2EFD9" w:themeFill="accent6" w:themeFillTint="33"/>
            <w:vAlign w:val="center"/>
          </w:tcPr>
          <w:p w14:paraId="384457FC" w14:textId="50FAFED5" w:rsidR="00E14F0E" w:rsidRPr="00E14F0E" w:rsidRDefault="00E14F0E" w:rsidP="00E76406">
            <w:pPr>
              <w:jc w:val="center"/>
              <w:rPr>
                <w:rFonts w:asciiTheme="majorBidi" w:hAnsiTheme="majorBidi" w:cstheme="majorBidi"/>
                <w:b/>
                <w:bCs/>
                <w:color w:val="000000" w:themeColor="text1"/>
              </w:rPr>
            </w:pPr>
            <w:r w:rsidRPr="00E14F0E">
              <w:rPr>
                <w:color w:val="000000" w:themeColor="text1"/>
              </w:rPr>
              <w:lastRenderedPageBreak/>
              <w:br w:type="page"/>
            </w:r>
            <w:r w:rsidRPr="00E14F0E">
              <w:rPr>
                <w:rFonts w:asciiTheme="majorBidi" w:hAnsiTheme="majorBidi" w:cstheme="majorBidi"/>
                <w:b/>
                <w:bCs/>
                <w:color w:val="000000" w:themeColor="text1"/>
                <w:sz w:val="30"/>
                <w:szCs w:val="30"/>
              </w:rPr>
              <w:t xml:space="preserve">Difference </w:t>
            </w:r>
            <w:r w:rsidRPr="00E14F0E">
              <w:rPr>
                <w:rFonts w:asciiTheme="majorBidi" w:hAnsiTheme="majorBidi" w:cstheme="majorBidi"/>
                <w:b/>
                <w:bCs/>
                <w:color w:val="000000" w:themeColor="text1"/>
                <w:sz w:val="30"/>
                <w:szCs w:val="30"/>
              </w:rPr>
              <w:t xml:space="preserve">Between </w:t>
            </w:r>
            <w:r w:rsidRPr="00E14F0E">
              <w:rPr>
                <w:rFonts w:asciiTheme="majorBidi" w:hAnsiTheme="majorBidi" w:cstheme="majorBidi"/>
                <w:b/>
                <w:bCs/>
                <w:color w:val="000000" w:themeColor="text1"/>
                <w:sz w:val="30"/>
                <w:szCs w:val="30"/>
              </w:rPr>
              <w:t>Islamic &amp; Conventional Current Account</w:t>
            </w:r>
          </w:p>
        </w:tc>
      </w:tr>
      <w:tr w:rsidR="00E14F0E" w:rsidRPr="00E14F0E" w14:paraId="151FC7B7" w14:textId="77777777" w:rsidTr="00180C36">
        <w:trPr>
          <w:trHeight w:val="413"/>
        </w:trPr>
        <w:tc>
          <w:tcPr>
            <w:tcW w:w="1054" w:type="dxa"/>
            <w:vAlign w:val="center"/>
          </w:tcPr>
          <w:p w14:paraId="0876F040" w14:textId="528630A6" w:rsidR="00E14F0E" w:rsidRPr="00E14F0E" w:rsidRDefault="00E14F0E" w:rsidP="00E76406">
            <w:pPr>
              <w:jc w:val="center"/>
              <w:rPr>
                <w:rFonts w:asciiTheme="majorBidi" w:hAnsiTheme="majorBidi" w:cstheme="majorBidi"/>
                <w:b/>
                <w:bCs/>
                <w:color w:val="000000" w:themeColor="text1"/>
              </w:rPr>
            </w:pPr>
            <w:r w:rsidRPr="00E14F0E">
              <w:rPr>
                <w:rFonts w:asciiTheme="majorBidi" w:hAnsiTheme="majorBidi" w:cstheme="majorBidi"/>
                <w:b/>
                <w:bCs/>
                <w:color w:val="000000" w:themeColor="text1"/>
              </w:rPr>
              <w:t>S. N</w:t>
            </w:r>
            <w:r>
              <w:rPr>
                <w:rFonts w:asciiTheme="majorBidi" w:hAnsiTheme="majorBidi" w:cstheme="majorBidi"/>
                <w:b/>
                <w:bCs/>
                <w:color w:val="000000" w:themeColor="text1"/>
              </w:rPr>
              <w:t>o.</w:t>
            </w:r>
          </w:p>
        </w:tc>
        <w:tc>
          <w:tcPr>
            <w:tcW w:w="4346" w:type="dxa"/>
            <w:vAlign w:val="center"/>
          </w:tcPr>
          <w:p w14:paraId="55EB7B8D" w14:textId="77777777" w:rsidR="00E14F0E" w:rsidRPr="00E14F0E" w:rsidRDefault="00E14F0E" w:rsidP="00E76406">
            <w:pPr>
              <w:jc w:val="center"/>
              <w:rPr>
                <w:rFonts w:asciiTheme="majorBidi" w:hAnsiTheme="majorBidi" w:cstheme="majorBidi"/>
                <w:b/>
                <w:bCs/>
                <w:color w:val="000000" w:themeColor="text1"/>
              </w:rPr>
            </w:pPr>
            <w:r w:rsidRPr="00E14F0E">
              <w:rPr>
                <w:rFonts w:asciiTheme="majorBidi" w:hAnsiTheme="majorBidi" w:cstheme="majorBidi"/>
                <w:b/>
                <w:bCs/>
                <w:color w:val="000000" w:themeColor="text1"/>
              </w:rPr>
              <w:t>Islamic Current Account</w:t>
            </w:r>
          </w:p>
        </w:tc>
        <w:tc>
          <w:tcPr>
            <w:tcW w:w="4674" w:type="dxa"/>
            <w:vAlign w:val="center"/>
          </w:tcPr>
          <w:p w14:paraId="45EFA1D2" w14:textId="77777777" w:rsidR="00E14F0E" w:rsidRPr="00E14F0E" w:rsidRDefault="00E14F0E" w:rsidP="00E76406">
            <w:pPr>
              <w:rPr>
                <w:rFonts w:asciiTheme="majorBidi" w:hAnsiTheme="majorBidi" w:cstheme="majorBidi"/>
                <w:b/>
                <w:bCs/>
                <w:color w:val="000000" w:themeColor="text1"/>
              </w:rPr>
            </w:pPr>
            <w:r w:rsidRPr="00E14F0E">
              <w:rPr>
                <w:rFonts w:asciiTheme="majorBidi" w:hAnsiTheme="majorBidi" w:cstheme="majorBidi"/>
                <w:b/>
                <w:bCs/>
                <w:color w:val="000000" w:themeColor="text1"/>
              </w:rPr>
              <w:t>Conventional Current Account</w:t>
            </w:r>
          </w:p>
        </w:tc>
      </w:tr>
      <w:tr w:rsidR="00E14F0E" w:rsidRPr="00E14F0E" w14:paraId="281525ED" w14:textId="77777777" w:rsidTr="00180C36">
        <w:trPr>
          <w:trHeight w:val="643"/>
        </w:trPr>
        <w:tc>
          <w:tcPr>
            <w:tcW w:w="1054" w:type="dxa"/>
            <w:vAlign w:val="center"/>
          </w:tcPr>
          <w:p w14:paraId="7F3D6376" w14:textId="77777777" w:rsidR="00E14F0E" w:rsidRPr="00E14F0E" w:rsidRDefault="00E14F0E" w:rsidP="00E76406">
            <w:pPr>
              <w:jc w:val="center"/>
              <w:rPr>
                <w:rFonts w:asciiTheme="majorBidi" w:hAnsiTheme="majorBidi" w:cstheme="majorBidi"/>
                <w:color w:val="000000" w:themeColor="text1"/>
              </w:rPr>
            </w:pPr>
            <w:r w:rsidRPr="00E14F0E">
              <w:rPr>
                <w:rFonts w:asciiTheme="majorBidi" w:hAnsiTheme="majorBidi" w:cstheme="majorBidi"/>
                <w:color w:val="000000" w:themeColor="text1"/>
              </w:rPr>
              <w:t>1</w:t>
            </w:r>
          </w:p>
        </w:tc>
        <w:tc>
          <w:tcPr>
            <w:tcW w:w="4346" w:type="dxa"/>
            <w:vAlign w:val="center"/>
          </w:tcPr>
          <w:p w14:paraId="711D979B" w14:textId="77777777" w:rsidR="00E14F0E" w:rsidRPr="00E14F0E" w:rsidRDefault="00E14F0E" w:rsidP="00E76406">
            <w:pPr>
              <w:jc w:val="both"/>
              <w:rPr>
                <w:rFonts w:asciiTheme="majorBidi" w:hAnsiTheme="majorBidi" w:cstheme="majorBidi"/>
                <w:color w:val="000000" w:themeColor="text1"/>
              </w:rPr>
            </w:pPr>
            <w:r w:rsidRPr="00E14F0E">
              <w:rPr>
                <w:rFonts w:asciiTheme="majorBidi" w:hAnsiTheme="majorBidi" w:cstheme="majorBidi"/>
                <w:color w:val="000000" w:themeColor="text1"/>
              </w:rPr>
              <w:t xml:space="preserve">Since Islamic current accounts are based on </w:t>
            </w:r>
            <w:proofErr w:type="spellStart"/>
            <w:r w:rsidRPr="00E14F0E">
              <w:rPr>
                <w:rFonts w:asciiTheme="majorBidi" w:hAnsiTheme="majorBidi" w:cstheme="majorBidi"/>
                <w:color w:val="000000" w:themeColor="text1"/>
              </w:rPr>
              <w:t>Qarḍ</w:t>
            </w:r>
            <w:proofErr w:type="spellEnd"/>
            <w:r w:rsidRPr="00E14F0E">
              <w:rPr>
                <w:rFonts w:asciiTheme="majorBidi" w:hAnsiTheme="majorBidi" w:cstheme="majorBidi"/>
                <w:color w:val="000000" w:themeColor="text1"/>
              </w:rPr>
              <w:t xml:space="preserve"> (borrowing) contract, bank cannot give predetermined benefits to current accounts</w:t>
            </w:r>
          </w:p>
        </w:tc>
        <w:tc>
          <w:tcPr>
            <w:tcW w:w="4674" w:type="dxa"/>
            <w:vAlign w:val="center"/>
          </w:tcPr>
          <w:p w14:paraId="174E0B53" w14:textId="77777777" w:rsidR="00E14F0E" w:rsidRPr="00E14F0E" w:rsidRDefault="00E14F0E" w:rsidP="00E76406">
            <w:pPr>
              <w:jc w:val="both"/>
              <w:rPr>
                <w:rFonts w:asciiTheme="majorBidi" w:hAnsiTheme="majorBidi" w:cstheme="majorBidi"/>
                <w:color w:val="000000" w:themeColor="text1"/>
              </w:rPr>
            </w:pPr>
            <w:r w:rsidRPr="00E14F0E">
              <w:rPr>
                <w:rFonts w:asciiTheme="majorBidi" w:hAnsiTheme="majorBidi" w:cstheme="majorBidi"/>
                <w:color w:val="000000" w:themeColor="text1"/>
              </w:rPr>
              <w:t>Conventional banks can give predetermined benefits to current accounts</w:t>
            </w:r>
          </w:p>
        </w:tc>
      </w:tr>
      <w:tr w:rsidR="00E14F0E" w:rsidRPr="00E14F0E" w14:paraId="3AC95F60" w14:textId="77777777" w:rsidTr="00180C36">
        <w:trPr>
          <w:trHeight w:val="643"/>
        </w:trPr>
        <w:tc>
          <w:tcPr>
            <w:tcW w:w="1054" w:type="dxa"/>
            <w:vAlign w:val="center"/>
          </w:tcPr>
          <w:p w14:paraId="4E5CC678" w14:textId="77777777" w:rsidR="00E14F0E" w:rsidRPr="00E14F0E" w:rsidRDefault="00E14F0E" w:rsidP="00E76406">
            <w:pPr>
              <w:jc w:val="center"/>
              <w:rPr>
                <w:rFonts w:asciiTheme="majorBidi" w:hAnsiTheme="majorBidi" w:cstheme="majorBidi"/>
                <w:color w:val="000000" w:themeColor="text1"/>
              </w:rPr>
            </w:pPr>
            <w:r w:rsidRPr="00E14F0E">
              <w:rPr>
                <w:rFonts w:asciiTheme="majorBidi" w:hAnsiTheme="majorBidi" w:cstheme="majorBidi"/>
                <w:color w:val="000000" w:themeColor="text1"/>
              </w:rPr>
              <w:t>2</w:t>
            </w:r>
          </w:p>
        </w:tc>
        <w:tc>
          <w:tcPr>
            <w:tcW w:w="4346" w:type="dxa"/>
            <w:vAlign w:val="center"/>
          </w:tcPr>
          <w:p w14:paraId="5836CD79" w14:textId="77777777" w:rsidR="00E14F0E" w:rsidRPr="00E14F0E" w:rsidRDefault="00E14F0E" w:rsidP="00E76406">
            <w:pPr>
              <w:jc w:val="both"/>
              <w:rPr>
                <w:rFonts w:asciiTheme="majorBidi" w:hAnsiTheme="majorBidi" w:cstheme="majorBidi"/>
                <w:color w:val="000000" w:themeColor="text1"/>
              </w:rPr>
            </w:pPr>
            <w:r w:rsidRPr="00E14F0E">
              <w:rPr>
                <w:rFonts w:asciiTheme="majorBidi" w:hAnsiTheme="majorBidi" w:cstheme="majorBidi"/>
                <w:color w:val="000000" w:themeColor="text1"/>
              </w:rPr>
              <w:t>Islamic banks do not deduct penalty on low balance maintained.</w:t>
            </w:r>
          </w:p>
        </w:tc>
        <w:tc>
          <w:tcPr>
            <w:tcW w:w="4674" w:type="dxa"/>
            <w:vAlign w:val="center"/>
          </w:tcPr>
          <w:p w14:paraId="497579AB" w14:textId="77777777" w:rsidR="00E14F0E" w:rsidRPr="00E14F0E" w:rsidRDefault="00E14F0E" w:rsidP="00E76406">
            <w:pPr>
              <w:jc w:val="both"/>
              <w:rPr>
                <w:rFonts w:asciiTheme="majorBidi" w:hAnsiTheme="majorBidi" w:cstheme="majorBidi"/>
                <w:color w:val="000000" w:themeColor="text1"/>
              </w:rPr>
            </w:pPr>
            <w:r w:rsidRPr="00E14F0E">
              <w:rPr>
                <w:rFonts w:asciiTheme="majorBidi" w:hAnsiTheme="majorBidi" w:cstheme="majorBidi"/>
                <w:color w:val="000000" w:themeColor="text1"/>
              </w:rPr>
              <w:t>Conventional banks deduct penalty on low balance maintained</w:t>
            </w:r>
          </w:p>
        </w:tc>
      </w:tr>
      <w:tr w:rsidR="00E14F0E" w:rsidRPr="00E14F0E" w14:paraId="317DE2C9" w14:textId="77777777" w:rsidTr="00180C36">
        <w:trPr>
          <w:trHeight w:val="643"/>
        </w:trPr>
        <w:tc>
          <w:tcPr>
            <w:tcW w:w="1054" w:type="dxa"/>
            <w:vAlign w:val="center"/>
          </w:tcPr>
          <w:p w14:paraId="5A5CBFF0" w14:textId="77777777" w:rsidR="00E14F0E" w:rsidRPr="00E14F0E" w:rsidRDefault="00E14F0E" w:rsidP="00E76406">
            <w:pPr>
              <w:jc w:val="center"/>
              <w:rPr>
                <w:rFonts w:asciiTheme="majorBidi" w:hAnsiTheme="majorBidi" w:cstheme="majorBidi"/>
                <w:color w:val="000000" w:themeColor="text1"/>
              </w:rPr>
            </w:pPr>
            <w:r w:rsidRPr="00E14F0E">
              <w:rPr>
                <w:rFonts w:asciiTheme="majorBidi" w:hAnsiTheme="majorBidi" w:cstheme="majorBidi"/>
                <w:color w:val="000000" w:themeColor="text1"/>
              </w:rPr>
              <w:t>3</w:t>
            </w:r>
          </w:p>
        </w:tc>
        <w:tc>
          <w:tcPr>
            <w:tcW w:w="4346" w:type="dxa"/>
            <w:vAlign w:val="center"/>
          </w:tcPr>
          <w:p w14:paraId="333C40C4" w14:textId="77777777" w:rsidR="00E14F0E" w:rsidRPr="00E14F0E" w:rsidRDefault="00E14F0E" w:rsidP="00E76406">
            <w:pPr>
              <w:jc w:val="both"/>
              <w:rPr>
                <w:rFonts w:asciiTheme="majorBidi" w:hAnsiTheme="majorBidi" w:cstheme="majorBidi"/>
                <w:color w:val="000000" w:themeColor="text1"/>
              </w:rPr>
            </w:pPr>
            <w:r w:rsidRPr="00E14F0E">
              <w:rPr>
                <w:rFonts w:asciiTheme="majorBidi" w:hAnsiTheme="majorBidi" w:cstheme="majorBidi"/>
                <w:color w:val="000000" w:themeColor="text1"/>
              </w:rPr>
              <w:t>Islamic Banks cannot incentivize current account holders for maintaining current account.</w:t>
            </w:r>
          </w:p>
        </w:tc>
        <w:tc>
          <w:tcPr>
            <w:tcW w:w="4674" w:type="dxa"/>
            <w:vAlign w:val="center"/>
          </w:tcPr>
          <w:p w14:paraId="298D6C3B" w14:textId="77777777" w:rsidR="00E14F0E" w:rsidRPr="00E14F0E" w:rsidRDefault="00E14F0E" w:rsidP="00E76406">
            <w:pPr>
              <w:jc w:val="both"/>
              <w:rPr>
                <w:rFonts w:asciiTheme="majorBidi" w:hAnsiTheme="majorBidi" w:cstheme="majorBidi"/>
                <w:color w:val="000000" w:themeColor="text1"/>
              </w:rPr>
            </w:pPr>
            <w:r w:rsidRPr="00E14F0E">
              <w:rPr>
                <w:rFonts w:asciiTheme="majorBidi" w:hAnsiTheme="majorBidi" w:cstheme="majorBidi"/>
                <w:color w:val="000000" w:themeColor="text1"/>
              </w:rPr>
              <w:t>Customers are usually incentivized by the bank in terms of free services on maintaining current account e.g. free cheque book, free ATM, pay order etc.</w:t>
            </w:r>
          </w:p>
        </w:tc>
      </w:tr>
    </w:tbl>
    <w:p w14:paraId="705ECD1D" w14:textId="5ABA8D91" w:rsidR="00E14F0E" w:rsidRDefault="00E14F0E"/>
    <w:p w14:paraId="41D5D7A1" w14:textId="77777777" w:rsidR="00E14F0E" w:rsidRDefault="00E14F0E">
      <w:r>
        <w:br w:type="page"/>
      </w:r>
    </w:p>
    <w:tbl>
      <w:tblPr>
        <w:tblStyle w:val="TableGrid"/>
        <w:tblW w:w="9984" w:type="dxa"/>
        <w:tblInd w:w="-185" w:type="dxa"/>
        <w:tblLook w:val="04A0" w:firstRow="1" w:lastRow="0" w:firstColumn="1" w:lastColumn="0" w:noHBand="0" w:noVBand="1"/>
      </w:tblPr>
      <w:tblGrid>
        <w:gridCol w:w="964"/>
        <w:gridCol w:w="4256"/>
        <w:gridCol w:w="4764"/>
      </w:tblGrid>
      <w:tr w:rsidR="00E14F0E" w:rsidRPr="00E14F0E" w14:paraId="6E64672F" w14:textId="77777777" w:rsidTr="00E14F0E">
        <w:trPr>
          <w:trHeight w:val="643"/>
        </w:trPr>
        <w:tc>
          <w:tcPr>
            <w:tcW w:w="9984" w:type="dxa"/>
            <w:gridSpan w:val="3"/>
            <w:shd w:val="clear" w:color="auto" w:fill="E2EFD9" w:themeFill="accent6" w:themeFillTint="33"/>
            <w:vAlign w:val="center"/>
          </w:tcPr>
          <w:p w14:paraId="39F7B195" w14:textId="6CC27F57" w:rsidR="00E14F0E" w:rsidRPr="00E14F0E" w:rsidRDefault="00E14F0E" w:rsidP="00E76406">
            <w:pPr>
              <w:jc w:val="center"/>
              <w:rPr>
                <w:rFonts w:asciiTheme="majorBidi" w:hAnsiTheme="majorBidi" w:cstheme="majorBidi"/>
                <w:b/>
                <w:bCs/>
                <w:color w:val="000000" w:themeColor="text1"/>
                <w:sz w:val="30"/>
                <w:szCs w:val="30"/>
              </w:rPr>
            </w:pPr>
            <w:r w:rsidRPr="00E14F0E">
              <w:rPr>
                <w:rFonts w:asciiTheme="majorBidi" w:hAnsiTheme="majorBidi" w:cstheme="majorBidi"/>
                <w:b/>
                <w:bCs/>
                <w:color w:val="000000" w:themeColor="text1"/>
                <w:sz w:val="30"/>
                <w:szCs w:val="30"/>
              </w:rPr>
              <w:lastRenderedPageBreak/>
              <w:t xml:space="preserve">Difference </w:t>
            </w:r>
            <w:r w:rsidR="00180C36" w:rsidRPr="00E14F0E">
              <w:rPr>
                <w:rFonts w:asciiTheme="majorBidi" w:hAnsiTheme="majorBidi" w:cstheme="majorBidi"/>
                <w:b/>
                <w:bCs/>
                <w:color w:val="000000" w:themeColor="text1"/>
                <w:sz w:val="30"/>
                <w:szCs w:val="30"/>
              </w:rPr>
              <w:t xml:space="preserve">Between </w:t>
            </w:r>
            <w:r w:rsidRPr="00E14F0E">
              <w:rPr>
                <w:rFonts w:asciiTheme="majorBidi" w:hAnsiTheme="majorBidi" w:cstheme="majorBidi"/>
                <w:b/>
                <w:bCs/>
                <w:color w:val="000000" w:themeColor="text1"/>
                <w:sz w:val="30"/>
                <w:szCs w:val="30"/>
              </w:rPr>
              <w:t>Islamic &amp; Conventional Saving Account</w:t>
            </w:r>
          </w:p>
        </w:tc>
      </w:tr>
      <w:tr w:rsidR="00E14F0E" w:rsidRPr="00E14F0E" w14:paraId="4F853588" w14:textId="77777777" w:rsidTr="00E14F0E">
        <w:trPr>
          <w:trHeight w:val="557"/>
        </w:trPr>
        <w:tc>
          <w:tcPr>
            <w:tcW w:w="964" w:type="dxa"/>
            <w:vAlign w:val="center"/>
          </w:tcPr>
          <w:p w14:paraId="1CD76FE9" w14:textId="14E65288" w:rsidR="00E14F0E" w:rsidRPr="00E14F0E" w:rsidRDefault="00E14F0E" w:rsidP="00E76406">
            <w:pPr>
              <w:jc w:val="center"/>
              <w:rPr>
                <w:rFonts w:asciiTheme="majorBidi" w:hAnsiTheme="majorBidi" w:cstheme="majorBidi"/>
                <w:b/>
                <w:bCs/>
                <w:color w:val="000000" w:themeColor="text1"/>
              </w:rPr>
            </w:pPr>
            <w:r w:rsidRPr="00E14F0E">
              <w:rPr>
                <w:rFonts w:asciiTheme="majorBidi" w:hAnsiTheme="majorBidi" w:cstheme="majorBidi"/>
                <w:b/>
                <w:bCs/>
                <w:color w:val="000000" w:themeColor="text1"/>
              </w:rPr>
              <w:t>S. N</w:t>
            </w:r>
            <w:r>
              <w:rPr>
                <w:rFonts w:asciiTheme="majorBidi" w:hAnsiTheme="majorBidi" w:cstheme="majorBidi"/>
                <w:b/>
                <w:bCs/>
                <w:color w:val="000000" w:themeColor="text1"/>
              </w:rPr>
              <w:t>o.</w:t>
            </w:r>
          </w:p>
        </w:tc>
        <w:tc>
          <w:tcPr>
            <w:tcW w:w="4256" w:type="dxa"/>
            <w:vAlign w:val="center"/>
          </w:tcPr>
          <w:p w14:paraId="0FECFE9C" w14:textId="77777777" w:rsidR="00E14F0E" w:rsidRPr="00E14F0E" w:rsidRDefault="00E14F0E" w:rsidP="00E76406">
            <w:pPr>
              <w:jc w:val="center"/>
              <w:rPr>
                <w:rFonts w:asciiTheme="majorBidi" w:hAnsiTheme="majorBidi" w:cstheme="majorBidi"/>
                <w:b/>
                <w:bCs/>
                <w:color w:val="000000" w:themeColor="text1"/>
              </w:rPr>
            </w:pPr>
            <w:r w:rsidRPr="00E14F0E">
              <w:rPr>
                <w:rFonts w:asciiTheme="majorBidi" w:hAnsiTheme="majorBidi" w:cstheme="majorBidi"/>
                <w:b/>
                <w:bCs/>
                <w:color w:val="000000" w:themeColor="text1"/>
              </w:rPr>
              <w:t>Islamic Saving Account</w:t>
            </w:r>
          </w:p>
        </w:tc>
        <w:tc>
          <w:tcPr>
            <w:tcW w:w="4764" w:type="dxa"/>
            <w:vAlign w:val="center"/>
          </w:tcPr>
          <w:p w14:paraId="11F06CA8" w14:textId="77777777" w:rsidR="00E14F0E" w:rsidRPr="00E14F0E" w:rsidRDefault="00E14F0E" w:rsidP="00E76406">
            <w:pPr>
              <w:jc w:val="center"/>
              <w:rPr>
                <w:rFonts w:asciiTheme="majorBidi" w:hAnsiTheme="majorBidi" w:cstheme="majorBidi"/>
                <w:b/>
                <w:bCs/>
                <w:color w:val="000000" w:themeColor="text1"/>
              </w:rPr>
            </w:pPr>
            <w:r w:rsidRPr="00E14F0E">
              <w:rPr>
                <w:rFonts w:asciiTheme="majorBidi" w:hAnsiTheme="majorBidi" w:cstheme="majorBidi"/>
                <w:b/>
                <w:bCs/>
                <w:color w:val="000000" w:themeColor="text1"/>
              </w:rPr>
              <w:t>Conventional Saving Account</w:t>
            </w:r>
          </w:p>
        </w:tc>
      </w:tr>
      <w:tr w:rsidR="00E14F0E" w:rsidRPr="00E14F0E" w14:paraId="4191E013" w14:textId="77777777" w:rsidTr="00E14F0E">
        <w:trPr>
          <w:trHeight w:val="643"/>
        </w:trPr>
        <w:tc>
          <w:tcPr>
            <w:tcW w:w="964" w:type="dxa"/>
            <w:vAlign w:val="center"/>
          </w:tcPr>
          <w:p w14:paraId="44638DB4" w14:textId="77777777" w:rsidR="00E14F0E" w:rsidRPr="00E14F0E" w:rsidRDefault="00E14F0E" w:rsidP="00E76406">
            <w:pPr>
              <w:jc w:val="center"/>
              <w:rPr>
                <w:rFonts w:asciiTheme="majorBidi" w:hAnsiTheme="majorBidi" w:cstheme="majorBidi"/>
                <w:color w:val="000000" w:themeColor="text1"/>
              </w:rPr>
            </w:pPr>
            <w:r w:rsidRPr="00E14F0E">
              <w:rPr>
                <w:rFonts w:asciiTheme="majorBidi" w:hAnsiTheme="majorBidi" w:cstheme="majorBidi"/>
                <w:color w:val="000000" w:themeColor="text1"/>
              </w:rPr>
              <w:t>1</w:t>
            </w:r>
          </w:p>
        </w:tc>
        <w:tc>
          <w:tcPr>
            <w:tcW w:w="4256" w:type="dxa"/>
            <w:vAlign w:val="center"/>
          </w:tcPr>
          <w:p w14:paraId="3A40106D" w14:textId="77777777" w:rsidR="00E14F0E" w:rsidRPr="00E14F0E" w:rsidRDefault="00E14F0E" w:rsidP="00E76406">
            <w:pPr>
              <w:jc w:val="both"/>
              <w:rPr>
                <w:rFonts w:asciiTheme="majorBidi" w:hAnsiTheme="majorBidi" w:cstheme="majorBidi"/>
                <w:color w:val="000000" w:themeColor="text1"/>
              </w:rPr>
            </w:pPr>
            <w:r w:rsidRPr="00E14F0E">
              <w:rPr>
                <w:rFonts w:asciiTheme="majorBidi" w:hAnsiTheme="majorBidi" w:cstheme="majorBidi"/>
                <w:color w:val="000000" w:themeColor="text1"/>
              </w:rPr>
              <w:t>Islamic saving accounts are based on Mudarabah partnership contract where bank cannot give agreed fixed return but shares actual Shariah compliant profit based on agreed profit-sharing ratio with its customers.</w:t>
            </w:r>
          </w:p>
        </w:tc>
        <w:tc>
          <w:tcPr>
            <w:tcW w:w="4764" w:type="dxa"/>
            <w:vAlign w:val="center"/>
          </w:tcPr>
          <w:p w14:paraId="46C2FDDD" w14:textId="77777777" w:rsidR="00E14F0E" w:rsidRPr="00E14F0E" w:rsidRDefault="00E14F0E" w:rsidP="00E76406">
            <w:pPr>
              <w:jc w:val="both"/>
              <w:rPr>
                <w:rFonts w:asciiTheme="majorBidi" w:hAnsiTheme="majorBidi" w:cstheme="majorBidi"/>
                <w:color w:val="000000" w:themeColor="text1"/>
              </w:rPr>
            </w:pPr>
            <w:r w:rsidRPr="00E14F0E">
              <w:rPr>
                <w:rFonts w:asciiTheme="majorBidi" w:hAnsiTheme="majorBidi" w:cstheme="majorBidi"/>
                <w:color w:val="000000" w:themeColor="text1"/>
              </w:rPr>
              <w:t xml:space="preserve">Conventional saving accounts are based on </w:t>
            </w:r>
            <w:proofErr w:type="spellStart"/>
            <w:r w:rsidRPr="00E14F0E">
              <w:rPr>
                <w:rFonts w:asciiTheme="majorBidi" w:hAnsiTheme="majorBidi" w:cstheme="majorBidi"/>
                <w:color w:val="000000" w:themeColor="text1"/>
              </w:rPr>
              <w:t>Qarḍ</w:t>
            </w:r>
            <w:proofErr w:type="spellEnd"/>
            <w:r w:rsidRPr="00E14F0E">
              <w:rPr>
                <w:rFonts w:asciiTheme="majorBidi" w:hAnsiTheme="majorBidi" w:cstheme="majorBidi"/>
                <w:color w:val="000000" w:themeColor="text1"/>
              </w:rPr>
              <w:t xml:space="preserve"> (borrowing) contracts where bank gives agreed fixed interest (Riba) to its customers.</w:t>
            </w:r>
          </w:p>
        </w:tc>
      </w:tr>
      <w:tr w:rsidR="00E14F0E" w:rsidRPr="00E14F0E" w14:paraId="313532A8" w14:textId="77777777" w:rsidTr="00E14F0E">
        <w:trPr>
          <w:trHeight w:val="643"/>
        </w:trPr>
        <w:tc>
          <w:tcPr>
            <w:tcW w:w="964" w:type="dxa"/>
            <w:vAlign w:val="center"/>
          </w:tcPr>
          <w:p w14:paraId="144E1C1C" w14:textId="77777777" w:rsidR="00E14F0E" w:rsidRPr="00E14F0E" w:rsidRDefault="00E14F0E" w:rsidP="00E76406">
            <w:pPr>
              <w:jc w:val="center"/>
              <w:rPr>
                <w:rFonts w:asciiTheme="majorBidi" w:hAnsiTheme="majorBidi" w:cstheme="majorBidi"/>
                <w:color w:val="000000" w:themeColor="text1"/>
              </w:rPr>
            </w:pPr>
            <w:r w:rsidRPr="00E14F0E">
              <w:rPr>
                <w:rFonts w:asciiTheme="majorBidi" w:hAnsiTheme="majorBidi" w:cstheme="majorBidi"/>
                <w:color w:val="000000" w:themeColor="text1"/>
              </w:rPr>
              <w:t>2</w:t>
            </w:r>
          </w:p>
        </w:tc>
        <w:tc>
          <w:tcPr>
            <w:tcW w:w="4256" w:type="dxa"/>
            <w:vAlign w:val="center"/>
          </w:tcPr>
          <w:p w14:paraId="13992488" w14:textId="77777777" w:rsidR="00E14F0E" w:rsidRPr="00E14F0E" w:rsidRDefault="00E14F0E" w:rsidP="00E76406">
            <w:pPr>
              <w:jc w:val="both"/>
              <w:rPr>
                <w:rFonts w:asciiTheme="majorBidi" w:hAnsiTheme="majorBidi" w:cstheme="majorBidi"/>
                <w:color w:val="000000" w:themeColor="text1"/>
              </w:rPr>
            </w:pPr>
            <w:r w:rsidRPr="00E14F0E">
              <w:rPr>
                <w:rFonts w:asciiTheme="majorBidi" w:hAnsiTheme="majorBidi" w:cstheme="majorBidi"/>
                <w:color w:val="000000" w:themeColor="text1"/>
              </w:rPr>
              <w:t>An Islamic bank cannot guarantee its return to the depositors</w:t>
            </w:r>
          </w:p>
        </w:tc>
        <w:tc>
          <w:tcPr>
            <w:tcW w:w="4764" w:type="dxa"/>
            <w:vAlign w:val="center"/>
          </w:tcPr>
          <w:p w14:paraId="751B3E62" w14:textId="77777777" w:rsidR="00E14F0E" w:rsidRPr="00E14F0E" w:rsidRDefault="00E14F0E" w:rsidP="00E76406">
            <w:pPr>
              <w:jc w:val="both"/>
              <w:rPr>
                <w:rFonts w:asciiTheme="majorBidi" w:hAnsiTheme="majorBidi" w:cstheme="majorBidi"/>
                <w:color w:val="000000" w:themeColor="text1"/>
              </w:rPr>
            </w:pPr>
            <w:r w:rsidRPr="00E14F0E">
              <w:rPr>
                <w:rFonts w:asciiTheme="majorBidi" w:hAnsiTheme="majorBidi" w:cstheme="majorBidi"/>
                <w:color w:val="000000" w:themeColor="text1"/>
              </w:rPr>
              <w:t>Conventional Bank Guarantees return on customer’s deposit.</w:t>
            </w:r>
          </w:p>
        </w:tc>
      </w:tr>
      <w:tr w:rsidR="00E14F0E" w:rsidRPr="00E14F0E" w14:paraId="13141896" w14:textId="77777777" w:rsidTr="00E14F0E">
        <w:trPr>
          <w:trHeight w:val="643"/>
        </w:trPr>
        <w:tc>
          <w:tcPr>
            <w:tcW w:w="964" w:type="dxa"/>
            <w:vAlign w:val="center"/>
          </w:tcPr>
          <w:p w14:paraId="60E53703" w14:textId="77777777" w:rsidR="00E14F0E" w:rsidRPr="00E14F0E" w:rsidRDefault="00E14F0E" w:rsidP="00E76406">
            <w:pPr>
              <w:jc w:val="center"/>
              <w:rPr>
                <w:rFonts w:asciiTheme="majorBidi" w:hAnsiTheme="majorBidi" w:cstheme="majorBidi"/>
                <w:color w:val="000000" w:themeColor="text1"/>
              </w:rPr>
            </w:pPr>
            <w:r w:rsidRPr="00E14F0E">
              <w:rPr>
                <w:rFonts w:asciiTheme="majorBidi" w:hAnsiTheme="majorBidi" w:cstheme="majorBidi"/>
                <w:color w:val="000000" w:themeColor="text1"/>
              </w:rPr>
              <w:t>3</w:t>
            </w:r>
          </w:p>
        </w:tc>
        <w:tc>
          <w:tcPr>
            <w:tcW w:w="4256" w:type="dxa"/>
            <w:vAlign w:val="center"/>
          </w:tcPr>
          <w:p w14:paraId="547C6214" w14:textId="77777777" w:rsidR="00E14F0E" w:rsidRPr="00E14F0E" w:rsidRDefault="00E14F0E" w:rsidP="00E76406">
            <w:pPr>
              <w:jc w:val="both"/>
              <w:rPr>
                <w:rFonts w:asciiTheme="majorBidi" w:hAnsiTheme="majorBidi" w:cstheme="majorBidi"/>
                <w:color w:val="000000" w:themeColor="text1"/>
              </w:rPr>
            </w:pPr>
            <w:r w:rsidRPr="00E14F0E">
              <w:rPr>
                <w:rFonts w:asciiTheme="majorBidi" w:hAnsiTheme="majorBidi" w:cstheme="majorBidi"/>
                <w:color w:val="000000" w:themeColor="text1"/>
              </w:rPr>
              <w:t>The Islamic bank cannot quote the depositors with certainty that it will give a specific amount of profit to them.</w:t>
            </w:r>
          </w:p>
        </w:tc>
        <w:tc>
          <w:tcPr>
            <w:tcW w:w="4764" w:type="dxa"/>
            <w:vAlign w:val="center"/>
          </w:tcPr>
          <w:p w14:paraId="42CB7A00" w14:textId="77777777" w:rsidR="00E14F0E" w:rsidRPr="00E14F0E" w:rsidRDefault="00E14F0E" w:rsidP="00E76406">
            <w:pPr>
              <w:jc w:val="both"/>
              <w:rPr>
                <w:rFonts w:asciiTheme="majorBidi" w:hAnsiTheme="majorBidi" w:cstheme="majorBidi"/>
                <w:color w:val="000000" w:themeColor="text1"/>
              </w:rPr>
            </w:pPr>
            <w:r w:rsidRPr="00E14F0E">
              <w:rPr>
                <w:rFonts w:asciiTheme="majorBidi" w:hAnsiTheme="majorBidi" w:cstheme="majorBidi"/>
                <w:color w:val="000000" w:themeColor="text1"/>
              </w:rPr>
              <w:t>Conventional Banks fix the rate of return at the time of taking deposit.</w:t>
            </w:r>
          </w:p>
        </w:tc>
      </w:tr>
      <w:tr w:rsidR="00E14F0E" w:rsidRPr="00E14F0E" w14:paraId="7748188B" w14:textId="77777777" w:rsidTr="00E14F0E">
        <w:trPr>
          <w:trHeight w:val="643"/>
        </w:trPr>
        <w:tc>
          <w:tcPr>
            <w:tcW w:w="964" w:type="dxa"/>
            <w:vAlign w:val="center"/>
          </w:tcPr>
          <w:p w14:paraId="04FFEA05" w14:textId="77777777" w:rsidR="00E14F0E" w:rsidRPr="00E14F0E" w:rsidRDefault="00E14F0E" w:rsidP="00E76406">
            <w:pPr>
              <w:jc w:val="center"/>
              <w:rPr>
                <w:rFonts w:asciiTheme="majorBidi" w:hAnsiTheme="majorBidi" w:cstheme="majorBidi"/>
                <w:color w:val="000000" w:themeColor="text1"/>
              </w:rPr>
            </w:pPr>
            <w:r w:rsidRPr="00E14F0E">
              <w:rPr>
                <w:rFonts w:asciiTheme="majorBidi" w:hAnsiTheme="majorBidi" w:cstheme="majorBidi"/>
                <w:color w:val="000000" w:themeColor="text1"/>
              </w:rPr>
              <w:t>4</w:t>
            </w:r>
          </w:p>
        </w:tc>
        <w:tc>
          <w:tcPr>
            <w:tcW w:w="4256" w:type="dxa"/>
            <w:vAlign w:val="center"/>
          </w:tcPr>
          <w:p w14:paraId="68C165C8" w14:textId="77777777" w:rsidR="00E14F0E" w:rsidRPr="00E14F0E" w:rsidRDefault="00E14F0E" w:rsidP="00E76406">
            <w:pPr>
              <w:jc w:val="both"/>
              <w:rPr>
                <w:rFonts w:asciiTheme="majorBidi" w:hAnsiTheme="majorBidi" w:cstheme="majorBidi"/>
                <w:color w:val="000000" w:themeColor="text1"/>
              </w:rPr>
            </w:pPr>
            <w:r w:rsidRPr="00E14F0E">
              <w:rPr>
                <w:rFonts w:asciiTheme="majorBidi" w:hAnsiTheme="majorBidi" w:cstheme="majorBidi"/>
                <w:color w:val="000000" w:themeColor="text1"/>
              </w:rPr>
              <w:t>Islamic banks do not impose penalty.</w:t>
            </w:r>
          </w:p>
          <w:p w14:paraId="5E6A8AB0" w14:textId="77777777" w:rsidR="00E14F0E" w:rsidRPr="00E14F0E" w:rsidRDefault="00E14F0E" w:rsidP="00E76406">
            <w:pPr>
              <w:jc w:val="both"/>
              <w:rPr>
                <w:rFonts w:asciiTheme="majorBidi" w:hAnsiTheme="majorBidi" w:cstheme="majorBidi"/>
                <w:color w:val="000000" w:themeColor="text1"/>
              </w:rPr>
            </w:pPr>
            <w:r w:rsidRPr="00E14F0E">
              <w:rPr>
                <w:rFonts w:asciiTheme="majorBidi" w:hAnsiTheme="majorBidi" w:cstheme="majorBidi"/>
                <w:color w:val="000000" w:themeColor="text1"/>
              </w:rPr>
              <w:t xml:space="preserve">on low balance maintained. </w:t>
            </w:r>
          </w:p>
        </w:tc>
        <w:tc>
          <w:tcPr>
            <w:tcW w:w="4764" w:type="dxa"/>
            <w:vAlign w:val="center"/>
          </w:tcPr>
          <w:p w14:paraId="38576465" w14:textId="77777777" w:rsidR="00E14F0E" w:rsidRPr="00E14F0E" w:rsidRDefault="00E14F0E" w:rsidP="00E76406">
            <w:pPr>
              <w:jc w:val="both"/>
              <w:rPr>
                <w:rFonts w:asciiTheme="majorBidi" w:hAnsiTheme="majorBidi" w:cstheme="majorBidi"/>
                <w:color w:val="000000" w:themeColor="text1"/>
              </w:rPr>
            </w:pPr>
            <w:r w:rsidRPr="00E14F0E">
              <w:rPr>
                <w:rFonts w:asciiTheme="majorBidi" w:hAnsiTheme="majorBidi" w:cstheme="majorBidi"/>
                <w:color w:val="000000" w:themeColor="text1"/>
              </w:rPr>
              <w:t>Conventional banks may impose.</w:t>
            </w:r>
          </w:p>
          <w:p w14:paraId="0BB34419" w14:textId="77777777" w:rsidR="00E14F0E" w:rsidRPr="00E14F0E" w:rsidRDefault="00E14F0E" w:rsidP="00E76406">
            <w:pPr>
              <w:jc w:val="both"/>
              <w:rPr>
                <w:rFonts w:asciiTheme="majorBidi" w:hAnsiTheme="majorBidi" w:cstheme="majorBidi"/>
                <w:color w:val="000000" w:themeColor="text1"/>
              </w:rPr>
            </w:pPr>
            <w:r w:rsidRPr="00E14F0E">
              <w:rPr>
                <w:rFonts w:asciiTheme="majorBidi" w:hAnsiTheme="majorBidi" w:cstheme="majorBidi"/>
                <w:color w:val="000000" w:themeColor="text1"/>
              </w:rPr>
              <w:t xml:space="preserve">penalty on low balance maintained </w:t>
            </w:r>
          </w:p>
        </w:tc>
      </w:tr>
    </w:tbl>
    <w:p w14:paraId="43BE212B" w14:textId="36E2C65B" w:rsidR="00E14F0E" w:rsidRDefault="00E14F0E"/>
    <w:p w14:paraId="34E05086" w14:textId="77777777" w:rsidR="00E14F0E" w:rsidRDefault="00E14F0E">
      <w:r>
        <w:br w:type="page"/>
      </w:r>
    </w:p>
    <w:tbl>
      <w:tblPr>
        <w:tblStyle w:val="TableGrid"/>
        <w:tblW w:w="9894" w:type="dxa"/>
        <w:tblInd w:w="-95" w:type="dxa"/>
        <w:tblLook w:val="04A0" w:firstRow="1" w:lastRow="0" w:firstColumn="1" w:lastColumn="0" w:noHBand="0" w:noVBand="1"/>
      </w:tblPr>
      <w:tblGrid>
        <w:gridCol w:w="874"/>
        <w:gridCol w:w="3896"/>
        <w:gridCol w:w="5124"/>
      </w:tblGrid>
      <w:tr w:rsidR="00E14F0E" w:rsidRPr="00E14F0E" w14:paraId="21E86A56" w14:textId="77777777" w:rsidTr="00E14F0E">
        <w:trPr>
          <w:trHeight w:val="643"/>
        </w:trPr>
        <w:tc>
          <w:tcPr>
            <w:tcW w:w="9894" w:type="dxa"/>
            <w:gridSpan w:val="3"/>
            <w:shd w:val="clear" w:color="auto" w:fill="E2EFD9" w:themeFill="accent6" w:themeFillTint="33"/>
            <w:vAlign w:val="center"/>
          </w:tcPr>
          <w:p w14:paraId="1BD6FE59" w14:textId="0959AD9C" w:rsidR="00E14F0E" w:rsidRPr="00E14F0E" w:rsidRDefault="00E14F0E" w:rsidP="00E76406">
            <w:pPr>
              <w:jc w:val="center"/>
              <w:rPr>
                <w:rFonts w:asciiTheme="majorBidi" w:hAnsiTheme="majorBidi" w:cstheme="majorBidi"/>
                <w:b/>
                <w:bCs/>
                <w:color w:val="000000" w:themeColor="text1"/>
                <w:sz w:val="30"/>
                <w:szCs w:val="30"/>
              </w:rPr>
            </w:pPr>
            <w:r w:rsidRPr="00E14F0E">
              <w:rPr>
                <w:rFonts w:asciiTheme="majorBidi" w:hAnsiTheme="majorBidi" w:cstheme="majorBidi"/>
                <w:b/>
                <w:bCs/>
                <w:color w:val="000000" w:themeColor="text1"/>
                <w:sz w:val="30"/>
                <w:szCs w:val="30"/>
              </w:rPr>
              <w:lastRenderedPageBreak/>
              <w:t xml:space="preserve">Difference </w:t>
            </w:r>
            <w:r w:rsidR="00180C36" w:rsidRPr="00E14F0E">
              <w:rPr>
                <w:rFonts w:asciiTheme="majorBidi" w:hAnsiTheme="majorBidi" w:cstheme="majorBidi"/>
                <w:b/>
                <w:bCs/>
                <w:color w:val="000000" w:themeColor="text1"/>
                <w:sz w:val="30"/>
                <w:szCs w:val="30"/>
              </w:rPr>
              <w:t xml:space="preserve">Between </w:t>
            </w:r>
            <w:r w:rsidRPr="00E14F0E">
              <w:rPr>
                <w:rFonts w:asciiTheme="majorBidi" w:hAnsiTheme="majorBidi" w:cstheme="majorBidi"/>
                <w:b/>
                <w:bCs/>
                <w:color w:val="000000" w:themeColor="text1"/>
                <w:sz w:val="30"/>
                <w:szCs w:val="30"/>
              </w:rPr>
              <w:t>Murabaha and Conventional Short-Term Loans</w:t>
            </w:r>
          </w:p>
        </w:tc>
      </w:tr>
      <w:tr w:rsidR="00E14F0E" w:rsidRPr="00E14F0E" w14:paraId="3AE67031" w14:textId="77777777" w:rsidTr="00E14F0E">
        <w:trPr>
          <w:trHeight w:val="512"/>
        </w:trPr>
        <w:tc>
          <w:tcPr>
            <w:tcW w:w="874" w:type="dxa"/>
            <w:vAlign w:val="center"/>
          </w:tcPr>
          <w:p w14:paraId="6C441C16" w14:textId="5B223623" w:rsidR="00E14F0E" w:rsidRPr="00E14F0E" w:rsidRDefault="00E14F0E" w:rsidP="00E76406">
            <w:pPr>
              <w:jc w:val="center"/>
              <w:rPr>
                <w:rFonts w:asciiTheme="majorBidi" w:hAnsiTheme="majorBidi" w:cstheme="majorBidi"/>
                <w:b/>
                <w:bCs/>
                <w:color w:val="000000" w:themeColor="text1"/>
              </w:rPr>
            </w:pPr>
            <w:r w:rsidRPr="00E14F0E">
              <w:rPr>
                <w:rFonts w:asciiTheme="majorBidi" w:hAnsiTheme="majorBidi" w:cstheme="majorBidi"/>
                <w:b/>
                <w:bCs/>
                <w:color w:val="000000" w:themeColor="text1"/>
              </w:rPr>
              <w:t>S. N</w:t>
            </w:r>
            <w:r>
              <w:rPr>
                <w:rFonts w:asciiTheme="majorBidi" w:hAnsiTheme="majorBidi" w:cstheme="majorBidi"/>
                <w:b/>
                <w:bCs/>
                <w:color w:val="000000" w:themeColor="text1"/>
              </w:rPr>
              <w:t>o.</w:t>
            </w:r>
          </w:p>
        </w:tc>
        <w:tc>
          <w:tcPr>
            <w:tcW w:w="3896" w:type="dxa"/>
            <w:vAlign w:val="center"/>
          </w:tcPr>
          <w:p w14:paraId="0BF676B3" w14:textId="77777777" w:rsidR="00E14F0E" w:rsidRPr="00E14F0E" w:rsidRDefault="00E14F0E" w:rsidP="00E76406">
            <w:pPr>
              <w:jc w:val="center"/>
              <w:rPr>
                <w:rFonts w:asciiTheme="majorBidi" w:hAnsiTheme="majorBidi" w:cstheme="majorBidi"/>
                <w:b/>
                <w:bCs/>
                <w:color w:val="000000" w:themeColor="text1"/>
              </w:rPr>
            </w:pPr>
            <w:proofErr w:type="spellStart"/>
            <w:r w:rsidRPr="00E14F0E">
              <w:rPr>
                <w:rFonts w:asciiTheme="majorBidi" w:hAnsiTheme="majorBidi" w:cstheme="majorBidi"/>
                <w:b/>
                <w:bCs/>
                <w:color w:val="000000" w:themeColor="text1"/>
              </w:rPr>
              <w:t>Murabahah</w:t>
            </w:r>
            <w:proofErr w:type="spellEnd"/>
          </w:p>
        </w:tc>
        <w:tc>
          <w:tcPr>
            <w:tcW w:w="5124" w:type="dxa"/>
            <w:vAlign w:val="center"/>
          </w:tcPr>
          <w:p w14:paraId="09346A80" w14:textId="77777777" w:rsidR="00E14F0E" w:rsidRPr="00E14F0E" w:rsidRDefault="00E14F0E" w:rsidP="00E76406">
            <w:pPr>
              <w:rPr>
                <w:rFonts w:asciiTheme="majorBidi" w:hAnsiTheme="majorBidi" w:cstheme="majorBidi"/>
                <w:b/>
                <w:bCs/>
                <w:color w:val="000000" w:themeColor="text1"/>
              </w:rPr>
            </w:pPr>
            <w:r w:rsidRPr="00E14F0E">
              <w:rPr>
                <w:rFonts w:asciiTheme="majorBidi" w:hAnsiTheme="majorBidi" w:cstheme="majorBidi"/>
                <w:b/>
                <w:bCs/>
                <w:color w:val="000000" w:themeColor="text1"/>
              </w:rPr>
              <w:t>Conventional Short-Term Loans</w:t>
            </w:r>
          </w:p>
        </w:tc>
      </w:tr>
      <w:tr w:rsidR="00E14F0E" w:rsidRPr="00E14F0E" w14:paraId="0D4EA4F3" w14:textId="77777777" w:rsidTr="00E14F0E">
        <w:trPr>
          <w:trHeight w:val="313"/>
        </w:trPr>
        <w:tc>
          <w:tcPr>
            <w:tcW w:w="874" w:type="dxa"/>
          </w:tcPr>
          <w:p w14:paraId="356ACA6A" w14:textId="77777777" w:rsidR="00E14F0E" w:rsidRPr="00E14F0E" w:rsidRDefault="00E14F0E" w:rsidP="00E76406">
            <w:pPr>
              <w:jc w:val="center"/>
              <w:rPr>
                <w:rFonts w:asciiTheme="majorBidi" w:hAnsiTheme="majorBidi" w:cstheme="majorBidi"/>
                <w:color w:val="000000" w:themeColor="text1"/>
              </w:rPr>
            </w:pPr>
            <w:r w:rsidRPr="00E14F0E">
              <w:rPr>
                <w:rFonts w:asciiTheme="majorBidi" w:hAnsiTheme="majorBidi" w:cstheme="majorBidi"/>
                <w:color w:val="000000" w:themeColor="text1"/>
              </w:rPr>
              <w:t>1</w:t>
            </w:r>
          </w:p>
        </w:tc>
        <w:tc>
          <w:tcPr>
            <w:tcW w:w="3896" w:type="dxa"/>
          </w:tcPr>
          <w:p w14:paraId="5CE40A57" w14:textId="77777777" w:rsidR="00E14F0E" w:rsidRPr="00E14F0E" w:rsidRDefault="00E14F0E" w:rsidP="00E76406">
            <w:pPr>
              <w:jc w:val="both"/>
              <w:rPr>
                <w:rFonts w:asciiTheme="majorBidi" w:hAnsiTheme="majorBidi" w:cstheme="majorBidi"/>
                <w:color w:val="000000" w:themeColor="text1"/>
              </w:rPr>
            </w:pPr>
            <w:r w:rsidRPr="00E14F0E">
              <w:rPr>
                <w:rFonts w:asciiTheme="majorBidi" w:hAnsiTheme="majorBidi" w:cstheme="majorBidi"/>
                <w:color w:val="000000" w:themeColor="text1"/>
              </w:rPr>
              <w:t>It’s a sale transaction.</w:t>
            </w:r>
          </w:p>
        </w:tc>
        <w:tc>
          <w:tcPr>
            <w:tcW w:w="5124" w:type="dxa"/>
          </w:tcPr>
          <w:p w14:paraId="336D9089" w14:textId="77777777" w:rsidR="00E14F0E" w:rsidRPr="00E14F0E" w:rsidRDefault="00E14F0E" w:rsidP="00E76406">
            <w:pPr>
              <w:jc w:val="both"/>
              <w:rPr>
                <w:rFonts w:asciiTheme="majorBidi" w:hAnsiTheme="majorBidi" w:cstheme="majorBidi"/>
                <w:color w:val="000000" w:themeColor="text1"/>
              </w:rPr>
            </w:pPr>
            <w:r w:rsidRPr="00E14F0E">
              <w:rPr>
                <w:rFonts w:asciiTheme="majorBidi" w:hAnsiTheme="majorBidi" w:cstheme="majorBidi"/>
                <w:color w:val="000000" w:themeColor="text1"/>
              </w:rPr>
              <w:t xml:space="preserve">It’s a loan-based contract </w:t>
            </w:r>
          </w:p>
        </w:tc>
      </w:tr>
      <w:tr w:rsidR="00E14F0E" w:rsidRPr="00E14F0E" w14:paraId="685AE5B2" w14:textId="77777777" w:rsidTr="00E14F0E">
        <w:trPr>
          <w:trHeight w:val="313"/>
        </w:trPr>
        <w:tc>
          <w:tcPr>
            <w:tcW w:w="874" w:type="dxa"/>
          </w:tcPr>
          <w:p w14:paraId="1D1AB534" w14:textId="77777777" w:rsidR="00E14F0E" w:rsidRPr="00E14F0E" w:rsidRDefault="00E14F0E" w:rsidP="00E76406">
            <w:pPr>
              <w:jc w:val="center"/>
              <w:rPr>
                <w:rFonts w:asciiTheme="majorBidi" w:hAnsiTheme="majorBidi" w:cstheme="majorBidi"/>
                <w:color w:val="000000" w:themeColor="text1"/>
              </w:rPr>
            </w:pPr>
            <w:r w:rsidRPr="00E14F0E">
              <w:rPr>
                <w:rFonts w:asciiTheme="majorBidi" w:hAnsiTheme="majorBidi" w:cstheme="majorBidi"/>
                <w:color w:val="000000" w:themeColor="text1"/>
              </w:rPr>
              <w:t>2</w:t>
            </w:r>
          </w:p>
        </w:tc>
        <w:tc>
          <w:tcPr>
            <w:tcW w:w="3896" w:type="dxa"/>
          </w:tcPr>
          <w:p w14:paraId="24A644D7" w14:textId="77777777" w:rsidR="00E14F0E" w:rsidRPr="00E14F0E" w:rsidRDefault="00E14F0E" w:rsidP="00E76406">
            <w:pPr>
              <w:jc w:val="both"/>
              <w:rPr>
                <w:rFonts w:asciiTheme="majorBidi" w:hAnsiTheme="majorBidi" w:cstheme="majorBidi"/>
                <w:color w:val="000000" w:themeColor="text1"/>
              </w:rPr>
            </w:pPr>
            <w:r w:rsidRPr="00E14F0E">
              <w:rPr>
                <w:rFonts w:asciiTheme="majorBidi" w:hAnsiTheme="majorBidi" w:cstheme="majorBidi"/>
                <w:color w:val="000000" w:themeColor="text1"/>
              </w:rPr>
              <w:t>Islamic Banks own the assets risks and rewards.</w:t>
            </w:r>
          </w:p>
        </w:tc>
        <w:tc>
          <w:tcPr>
            <w:tcW w:w="5124" w:type="dxa"/>
          </w:tcPr>
          <w:p w14:paraId="19ABA162" w14:textId="77777777" w:rsidR="00E14F0E" w:rsidRPr="00E14F0E" w:rsidRDefault="00E14F0E" w:rsidP="00E76406">
            <w:pPr>
              <w:jc w:val="both"/>
              <w:rPr>
                <w:rFonts w:asciiTheme="majorBidi" w:hAnsiTheme="majorBidi" w:cstheme="majorBidi"/>
                <w:color w:val="000000" w:themeColor="text1"/>
              </w:rPr>
            </w:pPr>
            <w:r w:rsidRPr="00E14F0E">
              <w:rPr>
                <w:rFonts w:asciiTheme="majorBidi" w:hAnsiTheme="majorBidi" w:cstheme="majorBidi"/>
                <w:color w:val="000000" w:themeColor="text1"/>
              </w:rPr>
              <w:t>Conventional banks do not own the risks and rewards of Assets / Commodity / Goods while extending conventional loans.</w:t>
            </w:r>
          </w:p>
        </w:tc>
      </w:tr>
      <w:tr w:rsidR="00E14F0E" w:rsidRPr="00E14F0E" w14:paraId="404C7AB4" w14:textId="77777777" w:rsidTr="00E14F0E">
        <w:trPr>
          <w:trHeight w:val="313"/>
        </w:trPr>
        <w:tc>
          <w:tcPr>
            <w:tcW w:w="874" w:type="dxa"/>
          </w:tcPr>
          <w:p w14:paraId="022AC73E" w14:textId="77777777" w:rsidR="00E14F0E" w:rsidRPr="00E14F0E" w:rsidRDefault="00E14F0E" w:rsidP="00E76406">
            <w:pPr>
              <w:jc w:val="center"/>
              <w:rPr>
                <w:rFonts w:asciiTheme="majorBidi" w:hAnsiTheme="majorBidi" w:cstheme="majorBidi"/>
                <w:color w:val="000000" w:themeColor="text1"/>
              </w:rPr>
            </w:pPr>
            <w:r w:rsidRPr="00E14F0E">
              <w:rPr>
                <w:rFonts w:asciiTheme="majorBidi" w:hAnsiTheme="majorBidi" w:cstheme="majorBidi"/>
                <w:color w:val="000000" w:themeColor="text1"/>
              </w:rPr>
              <w:t>3</w:t>
            </w:r>
          </w:p>
        </w:tc>
        <w:tc>
          <w:tcPr>
            <w:tcW w:w="3896" w:type="dxa"/>
          </w:tcPr>
          <w:p w14:paraId="3E2A4661" w14:textId="77777777" w:rsidR="00E14F0E" w:rsidRPr="00E14F0E" w:rsidRDefault="00E14F0E" w:rsidP="00E76406">
            <w:pPr>
              <w:jc w:val="both"/>
              <w:rPr>
                <w:rFonts w:asciiTheme="majorBidi" w:hAnsiTheme="majorBidi" w:cstheme="majorBidi"/>
                <w:color w:val="000000" w:themeColor="text1"/>
              </w:rPr>
            </w:pPr>
            <w:r w:rsidRPr="00E14F0E">
              <w:rPr>
                <w:rFonts w:asciiTheme="majorBidi" w:hAnsiTheme="majorBidi" w:cstheme="majorBidi"/>
                <w:color w:val="000000" w:themeColor="text1"/>
              </w:rPr>
              <w:t>Compensation is in the form of price of goods.</w:t>
            </w:r>
          </w:p>
        </w:tc>
        <w:tc>
          <w:tcPr>
            <w:tcW w:w="5124" w:type="dxa"/>
          </w:tcPr>
          <w:p w14:paraId="76DABB33" w14:textId="77777777" w:rsidR="00E14F0E" w:rsidRPr="00E14F0E" w:rsidRDefault="00E14F0E" w:rsidP="00E76406">
            <w:pPr>
              <w:jc w:val="both"/>
              <w:rPr>
                <w:rFonts w:asciiTheme="majorBidi" w:hAnsiTheme="majorBidi" w:cstheme="majorBidi"/>
                <w:color w:val="000000" w:themeColor="text1"/>
              </w:rPr>
            </w:pPr>
            <w:r w:rsidRPr="00E14F0E">
              <w:rPr>
                <w:rFonts w:asciiTheme="majorBidi" w:hAnsiTheme="majorBidi" w:cstheme="majorBidi"/>
                <w:color w:val="000000" w:themeColor="text1"/>
              </w:rPr>
              <w:t xml:space="preserve">Compensation in the form of interest, since any benefit over the loan is interest. </w:t>
            </w:r>
          </w:p>
        </w:tc>
      </w:tr>
    </w:tbl>
    <w:p w14:paraId="1C7DF8C0" w14:textId="5925FC95" w:rsidR="00E14F0E" w:rsidRDefault="00E14F0E"/>
    <w:p w14:paraId="2157D4DF" w14:textId="77777777" w:rsidR="00E14F0E" w:rsidRDefault="00E14F0E">
      <w:r>
        <w:br w:type="page"/>
      </w:r>
    </w:p>
    <w:tbl>
      <w:tblPr>
        <w:tblStyle w:val="TableGrid"/>
        <w:tblW w:w="9894" w:type="dxa"/>
        <w:tblInd w:w="-95" w:type="dxa"/>
        <w:tblLook w:val="04A0" w:firstRow="1" w:lastRow="0" w:firstColumn="1" w:lastColumn="0" w:noHBand="0" w:noVBand="1"/>
      </w:tblPr>
      <w:tblGrid>
        <w:gridCol w:w="874"/>
        <w:gridCol w:w="4076"/>
        <w:gridCol w:w="4944"/>
      </w:tblGrid>
      <w:tr w:rsidR="00E14F0E" w:rsidRPr="00E14F0E" w14:paraId="289C7A53" w14:textId="77777777" w:rsidTr="00E14F0E">
        <w:trPr>
          <w:trHeight w:val="512"/>
        </w:trPr>
        <w:tc>
          <w:tcPr>
            <w:tcW w:w="9894" w:type="dxa"/>
            <w:gridSpan w:val="3"/>
            <w:shd w:val="clear" w:color="auto" w:fill="E2EFD9" w:themeFill="accent6" w:themeFillTint="33"/>
            <w:vAlign w:val="center"/>
          </w:tcPr>
          <w:p w14:paraId="12ECFC6C" w14:textId="23068651" w:rsidR="00E14F0E" w:rsidRPr="00E14F0E" w:rsidRDefault="00E14F0E" w:rsidP="00E76406">
            <w:pPr>
              <w:jc w:val="center"/>
              <w:rPr>
                <w:rFonts w:asciiTheme="majorBidi" w:hAnsiTheme="majorBidi" w:cstheme="majorBidi"/>
                <w:b/>
                <w:bCs/>
                <w:color w:val="000000" w:themeColor="text1"/>
              </w:rPr>
            </w:pPr>
            <w:r w:rsidRPr="00E14F0E">
              <w:rPr>
                <w:rFonts w:asciiTheme="majorBidi" w:hAnsiTheme="majorBidi" w:cstheme="majorBidi"/>
                <w:b/>
                <w:bCs/>
                <w:color w:val="000000" w:themeColor="text1"/>
                <w:sz w:val="30"/>
                <w:szCs w:val="30"/>
              </w:rPr>
              <w:lastRenderedPageBreak/>
              <w:t xml:space="preserve">Difference </w:t>
            </w:r>
            <w:r w:rsidR="00180C36" w:rsidRPr="00E14F0E">
              <w:rPr>
                <w:rFonts w:asciiTheme="majorBidi" w:hAnsiTheme="majorBidi" w:cstheme="majorBidi"/>
                <w:b/>
                <w:bCs/>
                <w:color w:val="000000" w:themeColor="text1"/>
                <w:sz w:val="30"/>
                <w:szCs w:val="30"/>
              </w:rPr>
              <w:t xml:space="preserve">Between </w:t>
            </w:r>
            <w:r w:rsidRPr="00E14F0E">
              <w:rPr>
                <w:rFonts w:asciiTheme="majorBidi" w:hAnsiTheme="majorBidi" w:cstheme="majorBidi"/>
                <w:b/>
                <w:bCs/>
                <w:color w:val="000000" w:themeColor="text1"/>
                <w:sz w:val="30"/>
                <w:szCs w:val="30"/>
              </w:rPr>
              <w:t xml:space="preserve">Diminishing </w:t>
            </w:r>
            <w:proofErr w:type="spellStart"/>
            <w:r w:rsidRPr="00E14F0E">
              <w:rPr>
                <w:rFonts w:asciiTheme="majorBidi" w:hAnsiTheme="majorBidi" w:cstheme="majorBidi"/>
                <w:b/>
                <w:bCs/>
                <w:color w:val="000000" w:themeColor="text1"/>
                <w:sz w:val="30"/>
                <w:szCs w:val="30"/>
              </w:rPr>
              <w:t>Musharakah</w:t>
            </w:r>
            <w:proofErr w:type="spellEnd"/>
            <w:r w:rsidRPr="00E14F0E">
              <w:rPr>
                <w:rFonts w:asciiTheme="majorBidi" w:hAnsiTheme="majorBidi" w:cstheme="majorBidi"/>
                <w:b/>
                <w:bCs/>
                <w:color w:val="000000" w:themeColor="text1"/>
                <w:sz w:val="30"/>
                <w:szCs w:val="30"/>
              </w:rPr>
              <w:t xml:space="preserve"> Financing and Term Loans</w:t>
            </w:r>
          </w:p>
        </w:tc>
      </w:tr>
      <w:tr w:rsidR="00E14F0E" w:rsidRPr="00E14F0E" w14:paraId="7DB8517A" w14:textId="77777777" w:rsidTr="00180C36">
        <w:trPr>
          <w:trHeight w:val="313"/>
        </w:trPr>
        <w:tc>
          <w:tcPr>
            <w:tcW w:w="874" w:type="dxa"/>
          </w:tcPr>
          <w:p w14:paraId="160D99BF" w14:textId="69BB4F35" w:rsidR="00E14F0E" w:rsidRPr="00E14F0E" w:rsidRDefault="00E14F0E" w:rsidP="00E76406">
            <w:pPr>
              <w:jc w:val="center"/>
              <w:rPr>
                <w:rFonts w:asciiTheme="majorBidi" w:hAnsiTheme="majorBidi" w:cstheme="majorBidi"/>
                <w:b/>
                <w:bCs/>
                <w:color w:val="000000" w:themeColor="text1"/>
              </w:rPr>
            </w:pPr>
            <w:r w:rsidRPr="00E14F0E">
              <w:rPr>
                <w:rFonts w:asciiTheme="majorBidi" w:hAnsiTheme="majorBidi" w:cstheme="majorBidi"/>
                <w:b/>
                <w:bCs/>
                <w:color w:val="000000" w:themeColor="text1"/>
              </w:rPr>
              <w:t>S. N</w:t>
            </w:r>
            <w:r>
              <w:rPr>
                <w:rFonts w:asciiTheme="majorBidi" w:hAnsiTheme="majorBidi" w:cstheme="majorBidi"/>
                <w:b/>
                <w:bCs/>
                <w:color w:val="000000" w:themeColor="text1"/>
              </w:rPr>
              <w:t>o.</w:t>
            </w:r>
          </w:p>
        </w:tc>
        <w:tc>
          <w:tcPr>
            <w:tcW w:w="4076" w:type="dxa"/>
          </w:tcPr>
          <w:p w14:paraId="22CFF4D4" w14:textId="77777777" w:rsidR="00E14F0E" w:rsidRPr="00E14F0E" w:rsidRDefault="00E14F0E" w:rsidP="00E76406">
            <w:pPr>
              <w:rPr>
                <w:rFonts w:asciiTheme="majorBidi" w:hAnsiTheme="majorBidi" w:cstheme="majorBidi"/>
                <w:b/>
                <w:bCs/>
                <w:color w:val="000000" w:themeColor="text1"/>
              </w:rPr>
            </w:pPr>
            <w:r w:rsidRPr="00E14F0E">
              <w:rPr>
                <w:rFonts w:asciiTheme="majorBidi" w:hAnsiTheme="majorBidi" w:cstheme="majorBidi"/>
                <w:b/>
                <w:bCs/>
                <w:color w:val="000000" w:themeColor="text1"/>
              </w:rPr>
              <w:t xml:space="preserve">Diminishing </w:t>
            </w:r>
            <w:proofErr w:type="spellStart"/>
            <w:r w:rsidRPr="00E14F0E">
              <w:rPr>
                <w:rFonts w:asciiTheme="majorBidi" w:hAnsiTheme="majorBidi" w:cstheme="majorBidi"/>
                <w:b/>
                <w:bCs/>
                <w:color w:val="000000" w:themeColor="text1"/>
              </w:rPr>
              <w:t>Musharakah</w:t>
            </w:r>
            <w:proofErr w:type="spellEnd"/>
            <w:r w:rsidRPr="00E14F0E">
              <w:rPr>
                <w:rFonts w:asciiTheme="majorBidi" w:hAnsiTheme="majorBidi" w:cstheme="majorBidi"/>
                <w:b/>
                <w:bCs/>
                <w:color w:val="000000" w:themeColor="text1"/>
              </w:rPr>
              <w:t xml:space="preserve"> Financing</w:t>
            </w:r>
          </w:p>
        </w:tc>
        <w:tc>
          <w:tcPr>
            <w:tcW w:w="4944" w:type="dxa"/>
          </w:tcPr>
          <w:p w14:paraId="1EF02496" w14:textId="77777777" w:rsidR="00E14F0E" w:rsidRPr="00E14F0E" w:rsidRDefault="00E14F0E" w:rsidP="00E76406">
            <w:pPr>
              <w:jc w:val="center"/>
              <w:rPr>
                <w:rFonts w:asciiTheme="majorBidi" w:hAnsiTheme="majorBidi" w:cstheme="majorBidi"/>
                <w:b/>
                <w:bCs/>
                <w:color w:val="000000" w:themeColor="text1"/>
              </w:rPr>
            </w:pPr>
            <w:r w:rsidRPr="00E14F0E">
              <w:rPr>
                <w:rFonts w:asciiTheme="majorBidi" w:hAnsiTheme="majorBidi" w:cstheme="majorBidi"/>
                <w:b/>
                <w:bCs/>
                <w:color w:val="000000" w:themeColor="text1"/>
              </w:rPr>
              <w:t>Conventional Term Loans</w:t>
            </w:r>
          </w:p>
        </w:tc>
      </w:tr>
      <w:tr w:rsidR="00E14F0E" w:rsidRPr="00E14F0E" w14:paraId="2BA18171" w14:textId="77777777" w:rsidTr="00180C36">
        <w:trPr>
          <w:trHeight w:val="313"/>
        </w:trPr>
        <w:tc>
          <w:tcPr>
            <w:tcW w:w="874" w:type="dxa"/>
          </w:tcPr>
          <w:p w14:paraId="231A9DFF" w14:textId="77777777" w:rsidR="00E14F0E" w:rsidRPr="00E14F0E" w:rsidRDefault="00E14F0E" w:rsidP="00E76406">
            <w:pPr>
              <w:jc w:val="center"/>
              <w:rPr>
                <w:rFonts w:asciiTheme="majorBidi" w:hAnsiTheme="majorBidi" w:cstheme="majorBidi"/>
                <w:color w:val="000000" w:themeColor="text1"/>
              </w:rPr>
            </w:pPr>
            <w:r w:rsidRPr="00E14F0E">
              <w:rPr>
                <w:rFonts w:asciiTheme="majorBidi" w:hAnsiTheme="majorBidi" w:cstheme="majorBidi"/>
                <w:color w:val="000000" w:themeColor="text1"/>
              </w:rPr>
              <w:t>1</w:t>
            </w:r>
          </w:p>
        </w:tc>
        <w:tc>
          <w:tcPr>
            <w:tcW w:w="4076" w:type="dxa"/>
          </w:tcPr>
          <w:p w14:paraId="4F2C1009" w14:textId="77777777" w:rsidR="00E14F0E" w:rsidRPr="00E14F0E" w:rsidRDefault="00E14F0E" w:rsidP="00E76406">
            <w:pPr>
              <w:jc w:val="both"/>
              <w:rPr>
                <w:rFonts w:asciiTheme="majorBidi" w:hAnsiTheme="majorBidi" w:cstheme="majorBidi"/>
                <w:color w:val="000000" w:themeColor="text1"/>
              </w:rPr>
            </w:pPr>
            <w:r w:rsidRPr="00E14F0E">
              <w:rPr>
                <w:rFonts w:asciiTheme="majorBidi" w:hAnsiTheme="majorBidi" w:cstheme="majorBidi"/>
                <w:color w:val="000000" w:themeColor="text1"/>
              </w:rPr>
              <w:t>Islamic Banks acts as partner with customer to acquire joint ownership in the assets and thus own the risks and rewards over assets till the total bank’s share purchased by customers.</w:t>
            </w:r>
          </w:p>
        </w:tc>
        <w:tc>
          <w:tcPr>
            <w:tcW w:w="4944" w:type="dxa"/>
          </w:tcPr>
          <w:p w14:paraId="686FFF49" w14:textId="77777777" w:rsidR="00E14F0E" w:rsidRPr="00E14F0E" w:rsidRDefault="00E14F0E" w:rsidP="00E76406">
            <w:pPr>
              <w:jc w:val="both"/>
              <w:rPr>
                <w:rFonts w:asciiTheme="majorBidi" w:hAnsiTheme="majorBidi" w:cstheme="majorBidi"/>
                <w:color w:val="000000" w:themeColor="text1"/>
              </w:rPr>
            </w:pPr>
            <w:r w:rsidRPr="00E14F0E">
              <w:rPr>
                <w:rFonts w:asciiTheme="majorBidi" w:hAnsiTheme="majorBidi" w:cstheme="majorBidi"/>
                <w:color w:val="000000" w:themeColor="text1"/>
              </w:rPr>
              <w:t>It’s merely an interest-based lending where Conventional banks do not acquire joint ownership in the assets and thus, do not own the risks and rewards over assets.</w:t>
            </w:r>
          </w:p>
        </w:tc>
      </w:tr>
      <w:tr w:rsidR="00E14F0E" w:rsidRPr="00E14F0E" w14:paraId="1C02F192" w14:textId="77777777" w:rsidTr="00180C36">
        <w:trPr>
          <w:trHeight w:val="313"/>
        </w:trPr>
        <w:tc>
          <w:tcPr>
            <w:tcW w:w="874" w:type="dxa"/>
          </w:tcPr>
          <w:p w14:paraId="6DEF916F" w14:textId="77777777" w:rsidR="00E14F0E" w:rsidRPr="00E14F0E" w:rsidRDefault="00E14F0E" w:rsidP="00E76406">
            <w:pPr>
              <w:jc w:val="center"/>
              <w:rPr>
                <w:rFonts w:asciiTheme="majorBidi" w:hAnsiTheme="majorBidi" w:cstheme="majorBidi"/>
                <w:color w:val="000000" w:themeColor="text1"/>
              </w:rPr>
            </w:pPr>
            <w:r w:rsidRPr="00E14F0E">
              <w:rPr>
                <w:rFonts w:asciiTheme="majorBidi" w:hAnsiTheme="majorBidi" w:cstheme="majorBidi"/>
                <w:color w:val="000000" w:themeColor="text1"/>
              </w:rPr>
              <w:t>2</w:t>
            </w:r>
          </w:p>
        </w:tc>
        <w:tc>
          <w:tcPr>
            <w:tcW w:w="4076" w:type="dxa"/>
          </w:tcPr>
          <w:p w14:paraId="1AAB30CF" w14:textId="77777777" w:rsidR="00E14F0E" w:rsidRPr="00E14F0E" w:rsidRDefault="00E14F0E" w:rsidP="00E76406">
            <w:pPr>
              <w:jc w:val="both"/>
              <w:rPr>
                <w:rFonts w:asciiTheme="majorBidi" w:hAnsiTheme="majorBidi" w:cstheme="majorBidi"/>
                <w:color w:val="000000" w:themeColor="text1"/>
              </w:rPr>
            </w:pPr>
            <w:r w:rsidRPr="00E14F0E">
              <w:rPr>
                <w:rFonts w:asciiTheme="majorBidi" w:hAnsiTheme="majorBidi" w:cstheme="majorBidi"/>
                <w:color w:val="000000" w:themeColor="text1"/>
              </w:rPr>
              <w:t>Ownership of the bank gradually transferred to the customer.</w:t>
            </w:r>
          </w:p>
        </w:tc>
        <w:tc>
          <w:tcPr>
            <w:tcW w:w="4944" w:type="dxa"/>
          </w:tcPr>
          <w:p w14:paraId="347C34D0" w14:textId="77777777" w:rsidR="00E14F0E" w:rsidRPr="00E14F0E" w:rsidRDefault="00E14F0E" w:rsidP="00E76406">
            <w:pPr>
              <w:jc w:val="both"/>
              <w:rPr>
                <w:rFonts w:asciiTheme="majorBidi" w:hAnsiTheme="majorBidi" w:cstheme="majorBidi"/>
                <w:color w:val="000000" w:themeColor="text1"/>
              </w:rPr>
            </w:pPr>
            <w:r w:rsidRPr="00E14F0E">
              <w:rPr>
                <w:rFonts w:asciiTheme="majorBidi" w:hAnsiTheme="majorBidi" w:cstheme="majorBidi"/>
                <w:color w:val="000000" w:themeColor="text1"/>
              </w:rPr>
              <w:t>Ownership of the property lies with the customer from inception.</w:t>
            </w:r>
          </w:p>
        </w:tc>
      </w:tr>
      <w:tr w:rsidR="00E14F0E" w:rsidRPr="00E14F0E" w14:paraId="05790003" w14:textId="77777777" w:rsidTr="00180C36">
        <w:trPr>
          <w:trHeight w:val="313"/>
        </w:trPr>
        <w:tc>
          <w:tcPr>
            <w:tcW w:w="874" w:type="dxa"/>
          </w:tcPr>
          <w:p w14:paraId="37FA37FE" w14:textId="77777777" w:rsidR="00E14F0E" w:rsidRPr="00E14F0E" w:rsidRDefault="00E14F0E" w:rsidP="00E76406">
            <w:pPr>
              <w:jc w:val="center"/>
              <w:rPr>
                <w:rFonts w:asciiTheme="majorBidi" w:hAnsiTheme="majorBidi" w:cstheme="majorBidi"/>
                <w:color w:val="000000" w:themeColor="text1"/>
              </w:rPr>
            </w:pPr>
            <w:r w:rsidRPr="00E14F0E">
              <w:rPr>
                <w:rFonts w:asciiTheme="majorBidi" w:hAnsiTheme="majorBidi" w:cstheme="majorBidi"/>
                <w:color w:val="000000" w:themeColor="text1"/>
              </w:rPr>
              <w:t>3</w:t>
            </w:r>
          </w:p>
        </w:tc>
        <w:tc>
          <w:tcPr>
            <w:tcW w:w="4076" w:type="dxa"/>
          </w:tcPr>
          <w:p w14:paraId="1542EFD5" w14:textId="77777777" w:rsidR="00E14F0E" w:rsidRPr="00E14F0E" w:rsidRDefault="00E14F0E" w:rsidP="00E76406">
            <w:pPr>
              <w:jc w:val="both"/>
              <w:rPr>
                <w:rFonts w:asciiTheme="majorBidi" w:hAnsiTheme="majorBidi" w:cstheme="majorBidi"/>
                <w:color w:val="000000" w:themeColor="text1"/>
              </w:rPr>
            </w:pPr>
            <w:r w:rsidRPr="00E14F0E">
              <w:rPr>
                <w:rFonts w:asciiTheme="majorBidi" w:hAnsiTheme="majorBidi" w:cstheme="majorBidi"/>
                <w:color w:val="000000" w:themeColor="text1"/>
              </w:rPr>
              <w:t>The customer’s payment to the bank over the agreed tenure represents;</w:t>
            </w:r>
          </w:p>
        </w:tc>
        <w:tc>
          <w:tcPr>
            <w:tcW w:w="4944" w:type="dxa"/>
          </w:tcPr>
          <w:p w14:paraId="43F768B7" w14:textId="77777777" w:rsidR="00E14F0E" w:rsidRPr="00E14F0E" w:rsidRDefault="00E14F0E" w:rsidP="00E76406">
            <w:pPr>
              <w:jc w:val="both"/>
              <w:rPr>
                <w:rFonts w:asciiTheme="majorBidi" w:hAnsiTheme="majorBidi" w:cstheme="majorBidi"/>
                <w:color w:val="000000" w:themeColor="text1"/>
              </w:rPr>
            </w:pPr>
            <w:r w:rsidRPr="00E14F0E">
              <w:rPr>
                <w:rFonts w:asciiTheme="majorBidi" w:hAnsiTheme="majorBidi" w:cstheme="majorBidi"/>
                <w:color w:val="000000" w:themeColor="text1"/>
              </w:rPr>
              <w:t>The customer’s payment to the bank over the agreed tenure represents;</w:t>
            </w:r>
          </w:p>
        </w:tc>
      </w:tr>
      <w:tr w:rsidR="00E14F0E" w:rsidRPr="00E14F0E" w14:paraId="0466B0D5" w14:textId="77777777" w:rsidTr="00180C36">
        <w:trPr>
          <w:trHeight w:val="313"/>
        </w:trPr>
        <w:tc>
          <w:tcPr>
            <w:tcW w:w="874" w:type="dxa"/>
          </w:tcPr>
          <w:p w14:paraId="0E022A2A" w14:textId="77777777" w:rsidR="00E14F0E" w:rsidRPr="00E14F0E" w:rsidRDefault="00E14F0E" w:rsidP="00E76406">
            <w:pPr>
              <w:jc w:val="center"/>
              <w:rPr>
                <w:rFonts w:asciiTheme="majorBidi" w:hAnsiTheme="majorBidi" w:cstheme="majorBidi"/>
                <w:color w:val="000000" w:themeColor="text1"/>
              </w:rPr>
            </w:pPr>
            <w:r w:rsidRPr="00E14F0E">
              <w:rPr>
                <w:rFonts w:asciiTheme="majorBidi" w:hAnsiTheme="majorBidi" w:cstheme="majorBidi"/>
                <w:color w:val="000000" w:themeColor="text1"/>
              </w:rPr>
              <w:t>4</w:t>
            </w:r>
          </w:p>
        </w:tc>
        <w:tc>
          <w:tcPr>
            <w:tcW w:w="4076" w:type="dxa"/>
          </w:tcPr>
          <w:p w14:paraId="04185425" w14:textId="77777777" w:rsidR="00E14F0E" w:rsidRPr="00E14F0E" w:rsidRDefault="00E14F0E" w:rsidP="00E14F0E">
            <w:pPr>
              <w:pStyle w:val="ListParagraph"/>
              <w:numPr>
                <w:ilvl w:val="0"/>
                <w:numId w:val="2"/>
              </w:numPr>
              <w:ind w:left="360"/>
              <w:jc w:val="both"/>
              <w:rPr>
                <w:rFonts w:asciiTheme="majorBidi" w:hAnsiTheme="majorBidi" w:cstheme="majorBidi"/>
                <w:color w:val="000000" w:themeColor="text1"/>
              </w:rPr>
            </w:pPr>
            <w:r w:rsidRPr="00E14F0E">
              <w:rPr>
                <w:rFonts w:asciiTheme="majorBidi" w:hAnsiTheme="majorBidi" w:cstheme="majorBidi"/>
                <w:color w:val="000000" w:themeColor="text1"/>
              </w:rPr>
              <w:t xml:space="preserve">Purchase price for the share of bank in the property. </w:t>
            </w:r>
          </w:p>
          <w:p w14:paraId="3460BC79" w14:textId="77777777" w:rsidR="00E14F0E" w:rsidRPr="00E14F0E" w:rsidRDefault="00E14F0E" w:rsidP="00E14F0E">
            <w:pPr>
              <w:pStyle w:val="ListParagraph"/>
              <w:numPr>
                <w:ilvl w:val="0"/>
                <w:numId w:val="2"/>
              </w:numPr>
              <w:ind w:left="360"/>
              <w:jc w:val="both"/>
              <w:rPr>
                <w:rFonts w:asciiTheme="majorBidi" w:hAnsiTheme="majorBidi" w:cstheme="majorBidi"/>
                <w:color w:val="000000" w:themeColor="text1"/>
              </w:rPr>
            </w:pPr>
            <w:r w:rsidRPr="00E14F0E">
              <w:rPr>
                <w:rFonts w:asciiTheme="majorBidi" w:hAnsiTheme="majorBidi" w:cstheme="majorBidi"/>
                <w:color w:val="000000" w:themeColor="text1"/>
              </w:rPr>
              <w:t>Rental payment for the use of bank share in the property</w:t>
            </w:r>
          </w:p>
        </w:tc>
        <w:tc>
          <w:tcPr>
            <w:tcW w:w="4944" w:type="dxa"/>
          </w:tcPr>
          <w:p w14:paraId="7E2B4E29" w14:textId="77777777" w:rsidR="00E14F0E" w:rsidRPr="00E14F0E" w:rsidRDefault="00E14F0E" w:rsidP="00E14F0E">
            <w:pPr>
              <w:pStyle w:val="ListParagraph"/>
              <w:numPr>
                <w:ilvl w:val="0"/>
                <w:numId w:val="1"/>
              </w:numPr>
              <w:ind w:left="360"/>
              <w:jc w:val="both"/>
              <w:rPr>
                <w:rFonts w:asciiTheme="majorBidi" w:hAnsiTheme="majorBidi" w:cstheme="majorBidi"/>
                <w:color w:val="000000" w:themeColor="text1"/>
              </w:rPr>
            </w:pPr>
            <w:r w:rsidRPr="00E14F0E">
              <w:rPr>
                <w:rFonts w:asciiTheme="majorBidi" w:hAnsiTheme="majorBidi" w:cstheme="majorBidi"/>
                <w:color w:val="000000" w:themeColor="text1"/>
              </w:rPr>
              <w:t xml:space="preserve">Repayment of principal and payment </w:t>
            </w:r>
          </w:p>
          <w:p w14:paraId="5E6283C9" w14:textId="77777777" w:rsidR="00E14F0E" w:rsidRPr="00E14F0E" w:rsidRDefault="00E14F0E" w:rsidP="00E14F0E">
            <w:pPr>
              <w:pStyle w:val="ListParagraph"/>
              <w:numPr>
                <w:ilvl w:val="0"/>
                <w:numId w:val="1"/>
              </w:numPr>
              <w:ind w:left="360"/>
              <w:jc w:val="both"/>
              <w:rPr>
                <w:rFonts w:asciiTheme="majorBidi" w:hAnsiTheme="majorBidi" w:cstheme="majorBidi"/>
                <w:color w:val="000000" w:themeColor="text1"/>
              </w:rPr>
            </w:pPr>
            <w:r w:rsidRPr="00E14F0E">
              <w:rPr>
                <w:rFonts w:asciiTheme="majorBidi" w:hAnsiTheme="majorBidi" w:cstheme="majorBidi"/>
                <w:color w:val="000000" w:themeColor="text1"/>
              </w:rPr>
              <w:t>Interest/Riba on the principal amount</w:t>
            </w:r>
          </w:p>
        </w:tc>
      </w:tr>
      <w:tr w:rsidR="00E14F0E" w:rsidRPr="00E14F0E" w14:paraId="43861C67" w14:textId="77777777" w:rsidTr="00180C36">
        <w:trPr>
          <w:trHeight w:val="313"/>
        </w:trPr>
        <w:tc>
          <w:tcPr>
            <w:tcW w:w="874" w:type="dxa"/>
          </w:tcPr>
          <w:p w14:paraId="729A83B0" w14:textId="77777777" w:rsidR="00E14F0E" w:rsidRPr="00E14F0E" w:rsidRDefault="00E14F0E" w:rsidP="00E76406">
            <w:pPr>
              <w:jc w:val="center"/>
              <w:rPr>
                <w:rFonts w:asciiTheme="majorBidi" w:hAnsiTheme="majorBidi" w:cstheme="majorBidi"/>
                <w:color w:val="000000" w:themeColor="text1"/>
              </w:rPr>
            </w:pPr>
            <w:r w:rsidRPr="00E14F0E">
              <w:rPr>
                <w:rFonts w:asciiTheme="majorBidi" w:hAnsiTheme="majorBidi" w:cstheme="majorBidi"/>
                <w:color w:val="000000" w:themeColor="text1"/>
              </w:rPr>
              <w:t>5</w:t>
            </w:r>
          </w:p>
        </w:tc>
        <w:tc>
          <w:tcPr>
            <w:tcW w:w="4076" w:type="dxa"/>
          </w:tcPr>
          <w:p w14:paraId="2CBAEC80" w14:textId="77777777" w:rsidR="00E14F0E" w:rsidRPr="00E14F0E" w:rsidRDefault="00E14F0E" w:rsidP="00E76406">
            <w:pPr>
              <w:jc w:val="both"/>
              <w:rPr>
                <w:rFonts w:asciiTheme="majorBidi" w:hAnsiTheme="majorBidi" w:cstheme="majorBidi"/>
                <w:color w:val="000000" w:themeColor="text1"/>
              </w:rPr>
            </w:pPr>
            <w:r w:rsidRPr="00E14F0E">
              <w:rPr>
                <w:rFonts w:asciiTheme="majorBidi" w:hAnsiTheme="majorBidi" w:cstheme="majorBidi"/>
                <w:color w:val="000000" w:themeColor="text1"/>
              </w:rPr>
              <w:t>Ownership-related charges are borne.</w:t>
            </w:r>
          </w:p>
          <w:p w14:paraId="1A0FC431" w14:textId="77777777" w:rsidR="00E14F0E" w:rsidRPr="00E14F0E" w:rsidRDefault="00E14F0E" w:rsidP="00E76406">
            <w:pPr>
              <w:jc w:val="both"/>
              <w:rPr>
                <w:rFonts w:asciiTheme="majorBidi" w:hAnsiTheme="majorBidi" w:cstheme="majorBidi"/>
                <w:color w:val="000000" w:themeColor="text1"/>
              </w:rPr>
            </w:pPr>
            <w:r w:rsidRPr="00E14F0E">
              <w:rPr>
                <w:rFonts w:asciiTheme="majorBidi" w:hAnsiTheme="majorBidi" w:cstheme="majorBidi"/>
                <w:color w:val="000000" w:themeColor="text1"/>
              </w:rPr>
              <w:t>by both the Bank and Customer in proportion to their ownership</w:t>
            </w:r>
          </w:p>
        </w:tc>
        <w:tc>
          <w:tcPr>
            <w:tcW w:w="4944" w:type="dxa"/>
          </w:tcPr>
          <w:p w14:paraId="69E64F89" w14:textId="77777777" w:rsidR="00E14F0E" w:rsidRPr="00E14F0E" w:rsidRDefault="00E14F0E" w:rsidP="00E76406">
            <w:pPr>
              <w:jc w:val="both"/>
              <w:rPr>
                <w:rFonts w:asciiTheme="majorBidi" w:hAnsiTheme="majorBidi" w:cstheme="majorBidi"/>
                <w:color w:val="000000" w:themeColor="text1"/>
              </w:rPr>
            </w:pPr>
            <w:r w:rsidRPr="00E14F0E">
              <w:rPr>
                <w:rFonts w:asciiTheme="majorBidi" w:hAnsiTheme="majorBidi" w:cstheme="majorBidi"/>
                <w:color w:val="000000" w:themeColor="text1"/>
              </w:rPr>
              <w:t>All charges are borne by the customer.</w:t>
            </w:r>
          </w:p>
        </w:tc>
      </w:tr>
    </w:tbl>
    <w:p w14:paraId="418E2256" w14:textId="6B53EFA2" w:rsidR="00E14F0E" w:rsidRDefault="00E14F0E"/>
    <w:p w14:paraId="0E1D1304" w14:textId="77777777" w:rsidR="00E14F0E" w:rsidRDefault="00E14F0E">
      <w:r>
        <w:br w:type="page"/>
      </w:r>
    </w:p>
    <w:tbl>
      <w:tblPr>
        <w:tblStyle w:val="TableGrid"/>
        <w:tblW w:w="9984" w:type="dxa"/>
        <w:tblInd w:w="-185" w:type="dxa"/>
        <w:tblLook w:val="04A0" w:firstRow="1" w:lastRow="0" w:firstColumn="1" w:lastColumn="0" w:noHBand="0" w:noVBand="1"/>
      </w:tblPr>
      <w:tblGrid>
        <w:gridCol w:w="964"/>
        <w:gridCol w:w="4256"/>
        <w:gridCol w:w="4764"/>
      </w:tblGrid>
      <w:tr w:rsidR="00E14F0E" w:rsidRPr="00E14F0E" w14:paraId="65ED646E" w14:textId="77777777" w:rsidTr="00E14F0E">
        <w:trPr>
          <w:trHeight w:val="602"/>
        </w:trPr>
        <w:tc>
          <w:tcPr>
            <w:tcW w:w="9984" w:type="dxa"/>
            <w:gridSpan w:val="3"/>
            <w:shd w:val="clear" w:color="auto" w:fill="E2EFD9" w:themeFill="accent6" w:themeFillTint="33"/>
            <w:vAlign w:val="center"/>
          </w:tcPr>
          <w:p w14:paraId="0B7A17BD" w14:textId="6FF7AD37" w:rsidR="00E14F0E" w:rsidRPr="00E14F0E" w:rsidRDefault="00E14F0E" w:rsidP="00E76406">
            <w:pPr>
              <w:jc w:val="center"/>
              <w:rPr>
                <w:rFonts w:asciiTheme="majorBidi" w:hAnsiTheme="majorBidi" w:cstheme="majorBidi"/>
                <w:b/>
                <w:bCs/>
                <w:color w:val="000000" w:themeColor="text1"/>
              </w:rPr>
            </w:pPr>
            <w:r w:rsidRPr="00E14F0E">
              <w:rPr>
                <w:rFonts w:asciiTheme="majorBidi" w:hAnsiTheme="majorBidi" w:cstheme="majorBidi"/>
                <w:b/>
                <w:bCs/>
                <w:color w:val="000000" w:themeColor="text1"/>
                <w:sz w:val="30"/>
                <w:szCs w:val="30"/>
              </w:rPr>
              <w:lastRenderedPageBreak/>
              <w:t xml:space="preserve">Difference </w:t>
            </w:r>
            <w:r w:rsidR="00180C36" w:rsidRPr="00E14F0E">
              <w:rPr>
                <w:rFonts w:asciiTheme="majorBidi" w:hAnsiTheme="majorBidi" w:cstheme="majorBidi"/>
                <w:b/>
                <w:bCs/>
                <w:color w:val="000000" w:themeColor="text1"/>
                <w:sz w:val="30"/>
                <w:szCs w:val="30"/>
              </w:rPr>
              <w:t xml:space="preserve">Between </w:t>
            </w:r>
            <w:r w:rsidRPr="00E14F0E">
              <w:rPr>
                <w:rFonts w:asciiTheme="majorBidi" w:hAnsiTheme="majorBidi" w:cstheme="majorBidi"/>
                <w:b/>
                <w:bCs/>
                <w:color w:val="000000" w:themeColor="text1"/>
                <w:sz w:val="30"/>
                <w:szCs w:val="30"/>
              </w:rPr>
              <w:t>Ijarah Financing and Conventional Leasing</w:t>
            </w:r>
          </w:p>
        </w:tc>
      </w:tr>
      <w:tr w:rsidR="00E14F0E" w:rsidRPr="00E14F0E" w14:paraId="7ABAB581" w14:textId="77777777" w:rsidTr="00180C36">
        <w:trPr>
          <w:trHeight w:val="313"/>
        </w:trPr>
        <w:tc>
          <w:tcPr>
            <w:tcW w:w="964" w:type="dxa"/>
          </w:tcPr>
          <w:p w14:paraId="5F32C7B2" w14:textId="16401FA6" w:rsidR="00E14F0E" w:rsidRPr="00E14F0E" w:rsidRDefault="00E14F0E" w:rsidP="00E76406">
            <w:pPr>
              <w:jc w:val="center"/>
              <w:rPr>
                <w:rFonts w:asciiTheme="majorBidi" w:hAnsiTheme="majorBidi" w:cstheme="majorBidi"/>
                <w:b/>
                <w:bCs/>
                <w:color w:val="000000" w:themeColor="text1"/>
              </w:rPr>
            </w:pPr>
            <w:r w:rsidRPr="00E14F0E">
              <w:rPr>
                <w:rFonts w:asciiTheme="majorBidi" w:hAnsiTheme="majorBidi" w:cstheme="majorBidi"/>
                <w:b/>
                <w:bCs/>
                <w:color w:val="000000" w:themeColor="text1"/>
              </w:rPr>
              <w:t>S. N</w:t>
            </w:r>
            <w:r>
              <w:rPr>
                <w:rFonts w:asciiTheme="majorBidi" w:hAnsiTheme="majorBidi" w:cstheme="majorBidi"/>
                <w:b/>
                <w:bCs/>
                <w:color w:val="000000" w:themeColor="text1"/>
              </w:rPr>
              <w:t>o.</w:t>
            </w:r>
          </w:p>
        </w:tc>
        <w:tc>
          <w:tcPr>
            <w:tcW w:w="4256" w:type="dxa"/>
          </w:tcPr>
          <w:p w14:paraId="3A23DB8B" w14:textId="77777777" w:rsidR="00E14F0E" w:rsidRPr="00E14F0E" w:rsidRDefault="00E14F0E" w:rsidP="00E76406">
            <w:pPr>
              <w:jc w:val="center"/>
              <w:rPr>
                <w:rFonts w:asciiTheme="majorBidi" w:hAnsiTheme="majorBidi" w:cstheme="majorBidi"/>
                <w:b/>
                <w:bCs/>
                <w:color w:val="000000" w:themeColor="text1"/>
              </w:rPr>
            </w:pPr>
            <w:r w:rsidRPr="00E14F0E">
              <w:rPr>
                <w:rFonts w:asciiTheme="majorBidi" w:hAnsiTheme="majorBidi" w:cstheme="majorBidi"/>
                <w:b/>
                <w:bCs/>
                <w:color w:val="000000" w:themeColor="text1"/>
              </w:rPr>
              <w:t>Ijarah Financing</w:t>
            </w:r>
          </w:p>
        </w:tc>
        <w:tc>
          <w:tcPr>
            <w:tcW w:w="4764" w:type="dxa"/>
          </w:tcPr>
          <w:p w14:paraId="0CAA4235" w14:textId="77777777" w:rsidR="00E14F0E" w:rsidRPr="00E14F0E" w:rsidRDefault="00E14F0E" w:rsidP="00E76406">
            <w:pPr>
              <w:jc w:val="center"/>
              <w:rPr>
                <w:rFonts w:asciiTheme="majorBidi" w:hAnsiTheme="majorBidi" w:cstheme="majorBidi"/>
                <w:b/>
                <w:bCs/>
                <w:color w:val="000000" w:themeColor="text1"/>
              </w:rPr>
            </w:pPr>
            <w:r w:rsidRPr="00E14F0E">
              <w:rPr>
                <w:rFonts w:asciiTheme="majorBidi" w:hAnsiTheme="majorBidi" w:cstheme="majorBidi"/>
                <w:b/>
                <w:bCs/>
                <w:color w:val="000000" w:themeColor="text1"/>
              </w:rPr>
              <w:t>Conventional Leasing</w:t>
            </w:r>
          </w:p>
        </w:tc>
      </w:tr>
      <w:tr w:rsidR="00E14F0E" w:rsidRPr="00E14F0E" w14:paraId="66D46715" w14:textId="77777777" w:rsidTr="00180C36">
        <w:trPr>
          <w:trHeight w:val="313"/>
        </w:trPr>
        <w:tc>
          <w:tcPr>
            <w:tcW w:w="964" w:type="dxa"/>
          </w:tcPr>
          <w:p w14:paraId="67D2164A" w14:textId="77777777" w:rsidR="00E14F0E" w:rsidRPr="00E14F0E" w:rsidRDefault="00E14F0E" w:rsidP="00E76406">
            <w:pPr>
              <w:jc w:val="center"/>
              <w:rPr>
                <w:rFonts w:asciiTheme="majorBidi" w:hAnsiTheme="majorBidi" w:cstheme="majorBidi"/>
                <w:color w:val="000000" w:themeColor="text1"/>
              </w:rPr>
            </w:pPr>
            <w:r w:rsidRPr="00E14F0E">
              <w:rPr>
                <w:rFonts w:asciiTheme="majorBidi" w:hAnsiTheme="majorBidi" w:cstheme="majorBidi"/>
                <w:color w:val="000000" w:themeColor="text1"/>
              </w:rPr>
              <w:t>1</w:t>
            </w:r>
          </w:p>
        </w:tc>
        <w:tc>
          <w:tcPr>
            <w:tcW w:w="4256" w:type="dxa"/>
          </w:tcPr>
          <w:p w14:paraId="01ADFB9D" w14:textId="77777777" w:rsidR="00E14F0E" w:rsidRPr="00E14F0E" w:rsidRDefault="00E14F0E" w:rsidP="00E76406">
            <w:pPr>
              <w:jc w:val="both"/>
              <w:rPr>
                <w:rFonts w:asciiTheme="majorBidi" w:hAnsiTheme="majorBidi" w:cstheme="majorBidi"/>
                <w:color w:val="000000" w:themeColor="text1"/>
              </w:rPr>
            </w:pPr>
            <w:r w:rsidRPr="00E14F0E">
              <w:rPr>
                <w:rFonts w:asciiTheme="majorBidi" w:hAnsiTheme="majorBidi" w:cstheme="majorBidi"/>
                <w:color w:val="000000" w:themeColor="text1"/>
              </w:rPr>
              <w:t>Islamic Banks acquire ownership over the asset and thus own the risks and rewards over the asset during the financing tenure.</w:t>
            </w:r>
          </w:p>
        </w:tc>
        <w:tc>
          <w:tcPr>
            <w:tcW w:w="4764" w:type="dxa"/>
          </w:tcPr>
          <w:p w14:paraId="0A9A6AA3" w14:textId="77777777" w:rsidR="00E14F0E" w:rsidRPr="00E14F0E" w:rsidRDefault="00E14F0E" w:rsidP="00E76406">
            <w:pPr>
              <w:jc w:val="both"/>
              <w:rPr>
                <w:rFonts w:asciiTheme="majorBidi" w:hAnsiTheme="majorBidi" w:cstheme="majorBidi"/>
                <w:color w:val="000000" w:themeColor="text1"/>
              </w:rPr>
            </w:pPr>
            <w:r w:rsidRPr="00E14F0E">
              <w:rPr>
                <w:rFonts w:asciiTheme="majorBidi" w:hAnsiTheme="majorBidi" w:cstheme="majorBidi"/>
                <w:color w:val="000000" w:themeColor="text1"/>
              </w:rPr>
              <w:t>Conventional banks do not acquire ownership over the asset and thus do not.</w:t>
            </w:r>
          </w:p>
          <w:p w14:paraId="60F9B653" w14:textId="77777777" w:rsidR="00E14F0E" w:rsidRPr="00E14F0E" w:rsidRDefault="00E14F0E" w:rsidP="00E76406">
            <w:pPr>
              <w:jc w:val="both"/>
              <w:rPr>
                <w:rFonts w:asciiTheme="majorBidi" w:hAnsiTheme="majorBidi" w:cstheme="majorBidi"/>
                <w:color w:val="000000" w:themeColor="text1"/>
              </w:rPr>
            </w:pPr>
            <w:r w:rsidRPr="00E14F0E">
              <w:rPr>
                <w:rFonts w:asciiTheme="majorBidi" w:hAnsiTheme="majorBidi" w:cstheme="majorBidi"/>
                <w:color w:val="000000" w:themeColor="text1"/>
              </w:rPr>
              <w:t>own the risks and rewards over the asset during the term loans tenure.</w:t>
            </w:r>
          </w:p>
        </w:tc>
      </w:tr>
      <w:tr w:rsidR="00E14F0E" w:rsidRPr="00E14F0E" w14:paraId="36BC7583" w14:textId="77777777" w:rsidTr="00180C36">
        <w:trPr>
          <w:trHeight w:val="313"/>
        </w:trPr>
        <w:tc>
          <w:tcPr>
            <w:tcW w:w="964" w:type="dxa"/>
          </w:tcPr>
          <w:p w14:paraId="7D83727B" w14:textId="77777777" w:rsidR="00E14F0E" w:rsidRPr="00E14F0E" w:rsidRDefault="00E14F0E" w:rsidP="00E76406">
            <w:pPr>
              <w:jc w:val="center"/>
              <w:rPr>
                <w:rFonts w:asciiTheme="majorBidi" w:hAnsiTheme="majorBidi" w:cstheme="majorBidi"/>
                <w:color w:val="000000" w:themeColor="text1"/>
              </w:rPr>
            </w:pPr>
            <w:r w:rsidRPr="00E14F0E">
              <w:rPr>
                <w:rFonts w:asciiTheme="majorBidi" w:hAnsiTheme="majorBidi" w:cstheme="majorBidi"/>
                <w:color w:val="000000" w:themeColor="text1"/>
              </w:rPr>
              <w:t>2</w:t>
            </w:r>
          </w:p>
        </w:tc>
        <w:tc>
          <w:tcPr>
            <w:tcW w:w="4256" w:type="dxa"/>
          </w:tcPr>
          <w:p w14:paraId="36CBE16E" w14:textId="77777777" w:rsidR="00E14F0E" w:rsidRPr="00E14F0E" w:rsidRDefault="00E14F0E" w:rsidP="00E76406">
            <w:pPr>
              <w:jc w:val="both"/>
              <w:rPr>
                <w:rFonts w:asciiTheme="majorBidi" w:hAnsiTheme="majorBidi" w:cstheme="majorBidi"/>
                <w:color w:val="000000" w:themeColor="text1"/>
              </w:rPr>
            </w:pPr>
            <w:r w:rsidRPr="00E14F0E">
              <w:rPr>
                <w:rFonts w:asciiTheme="majorBidi" w:hAnsiTheme="majorBidi" w:cstheme="majorBidi"/>
                <w:color w:val="000000" w:themeColor="text1"/>
              </w:rPr>
              <w:t xml:space="preserve">The bank bears all the risk of loss of </w:t>
            </w:r>
            <w:proofErr w:type="gramStart"/>
            <w:r w:rsidRPr="00E14F0E">
              <w:rPr>
                <w:rFonts w:asciiTheme="majorBidi" w:hAnsiTheme="majorBidi" w:cstheme="majorBidi"/>
                <w:color w:val="000000" w:themeColor="text1"/>
              </w:rPr>
              <w:t>asset</w:t>
            </w:r>
            <w:proofErr w:type="gramEnd"/>
            <w:r w:rsidRPr="00E14F0E">
              <w:rPr>
                <w:rFonts w:asciiTheme="majorBidi" w:hAnsiTheme="majorBidi" w:cstheme="majorBidi"/>
                <w:color w:val="000000" w:themeColor="text1"/>
              </w:rPr>
              <w:t xml:space="preserve"> if such loss is not caused by the negligence of the customer.</w:t>
            </w:r>
          </w:p>
        </w:tc>
        <w:tc>
          <w:tcPr>
            <w:tcW w:w="4764" w:type="dxa"/>
          </w:tcPr>
          <w:p w14:paraId="4693FF78" w14:textId="77777777" w:rsidR="00E14F0E" w:rsidRPr="00E14F0E" w:rsidRDefault="00E14F0E" w:rsidP="00E76406">
            <w:pPr>
              <w:jc w:val="both"/>
              <w:rPr>
                <w:rFonts w:asciiTheme="majorBidi" w:hAnsiTheme="majorBidi" w:cstheme="majorBidi"/>
                <w:color w:val="000000" w:themeColor="text1"/>
              </w:rPr>
            </w:pPr>
            <w:r w:rsidRPr="00E14F0E">
              <w:rPr>
                <w:rFonts w:asciiTheme="majorBidi" w:hAnsiTheme="majorBidi" w:cstheme="majorBidi"/>
                <w:color w:val="000000" w:themeColor="text1"/>
              </w:rPr>
              <w:t>The bank is not responsible for any loss to the asset.</w:t>
            </w:r>
          </w:p>
        </w:tc>
      </w:tr>
      <w:tr w:rsidR="00E14F0E" w:rsidRPr="00E14F0E" w14:paraId="4F8C3AAB" w14:textId="77777777" w:rsidTr="00180C36">
        <w:trPr>
          <w:trHeight w:val="313"/>
        </w:trPr>
        <w:tc>
          <w:tcPr>
            <w:tcW w:w="964" w:type="dxa"/>
          </w:tcPr>
          <w:p w14:paraId="76F4F109" w14:textId="77777777" w:rsidR="00E14F0E" w:rsidRPr="00E14F0E" w:rsidRDefault="00E14F0E" w:rsidP="00E76406">
            <w:pPr>
              <w:jc w:val="center"/>
              <w:rPr>
                <w:rFonts w:asciiTheme="majorBidi" w:hAnsiTheme="majorBidi" w:cstheme="majorBidi"/>
                <w:color w:val="000000" w:themeColor="text1"/>
              </w:rPr>
            </w:pPr>
            <w:r w:rsidRPr="00E14F0E">
              <w:rPr>
                <w:rFonts w:asciiTheme="majorBidi" w:hAnsiTheme="majorBidi" w:cstheme="majorBidi"/>
                <w:color w:val="000000" w:themeColor="text1"/>
              </w:rPr>
              <w:t>3</w:t>
            </w:r>
          </w:p>
        </w:tc>
        <w:tc>
          <w:tcPr>
            <w:tcW w:w="4256" w:type="dxa"/>
          </w:tcPr>
          <w:p w14:paraId="2DCFED4B" w14:textId="77777777" w:rsidR="00E14F0E" w:rsidRPr="00E14F0E" w:rsidRDefault="00E14F0E" w:rsidP="00E76406">
            <w:pPr>
              <w:jc w:val="both"/>
              <w:rPr>
                <w:rFonts w:asciiTheme="majorBidi" w:hAnsiTheme="majorBidi" w:cstheme="majorBidi"/>
                <w:color w:val="000000" w:themeColor="text1"/>
              </w:rPr>
            </w:pPr>
            <w:r w:rsidRPr="00E14F0E">
              <w:rPr>
                <w:rFonts w:asciiTheme="majorBidi" w:hAnsiTheme="majorBidi" w:cstheme="majorBidi"/>
                <w:color w:val="000000" w:themeColor="text1"/>
              </w:rPr>
              <w:t>No rent can be charged and demanded prior to the delivery of the asset.</w:t>
            </w:r>
          </w:p>
        </w:tc>
        <w:tc>
          <w:tcPr>
            <w:tcW w:w="4764" w:type="dxa"/>
          </w:tcPr>
          <w:p w14:paraId="1CCF1603" w14:textId="77777777" w:rsidR="00E14F0E" w:rsidRPr="00E14F0E" w:rsidRDefault="00E14F0E" w:rsidP="00E76406">
            <w:pPr>
              <w:jc w:val="both"/>
              <w:rPr>
                <w:rFonts w:asciiTheme="majorBidi" w:hAnsiTheme="majorBidi" w:cstheme="majorBidi"/>
                <w:color w:val="000000" w:themeColor="text1"/>
              </w:rPr>
            </w:pPr>
            <w:r w:rsidRPr="00E14F0E">
              <w:rPr>
                <w:rFonts w:asciiTheme="majorBidi" w:hAnsiTheme="majorBidi" w:cstheme="majorBidi"/>
                <w:color w:val="000000" w:themeColor="text1"/>
              </w:rPr>
              <w:t>Rent is charged and demanded prior to delivery of the asset.</w:t>
            </w:r>
          </w:p>
        </w:tc>
      </w:tr>
      <w:tr w:rsidR="00E14F0E" w:rsidRPr="00E14F0E" w14:paraId="0A6CAE02" w14:textId="77777777" w:rsidTr="00180C36">
        <w:trPr>
          <w:trHeight w:val="313"/>
        </w:trPr>
        <w:tc>
          <w:tcPr>
            <w:tcW w:w="964" w:type="dxa"/>
          </w:tcPr>
          <w:p w14:paraId="51B39A32" w14:textId="77777777" w:rsidR="00E14F0E" w:rsidRPr="00E14F0E" w:rsidRDefault="00E14F0E" w:rsidP="00E76406">
            <w:pPr>
              <w:jc w:val="center"/>
              <w:rPr>
                <w:rFonts w:asciiTheme="majorBidi" w:hAnsiTheme="majorBidi" w:cstheme="majorBidi"/>
                <w:color w:val="000000" w:themeColor="text1"/>
              </w:rPr>
            </w:pPr>
            <w:r w:rsidRPr="00E14F0E">
              <w:rPr>
                <w:rFonts w:asciiTheme="majorBidi" w:hAnsiTheme="majorBidi" w:cstheme="majorBidi"/>
                <w:color w:val="000000" w:themeColor="text1"/>
              </w:rPr>
              <w:t>4</w:t>
            </w:r>
          </w:p>
        </w:tc>
        <w:tc>
          <w:tcPr>
            <w:tcW w:w="4256" w:type="dxa"/>
          </w:tcPr>
          <w:p w14:paraId="722F5577" w14:textId="77777777" w:rsidR="00E14F0E" w:rsidRPr="00E14F0E" w:rsidRDefault="00E14F0E" w:rsidP="00E76406">
            <w:pPr>
              <w:jc w:val="both"/>
              <w:rPr>
                <w:rFonts w:asciiTheme="majorBidi" w:hAnsiTheme="majorBidi" w:cstheme="majorBidi"/>
                <w:color w:val="000000" w:themeColor="text1"/>
              </w:rPr>
            </w:pPr>
            <w:r w:rsidRPr="00E14F0E">
              <w:rPr>
                <w:rFonts w:asciiTheme="majorBidi" w:hAnsiTheme="majorBidi" w:cstheme="majorBidi"/>
                <w:color w:val="000000" w:themeColor="text1"/>
              </w:rPr>
              <w:t>Since Ijarah is a binding agreement therefore, neither party can terminate it without mutual consent unless there is a breach of contract by either party.</w:t>
            </w:r>
          </w:p>
        </w:tc>
        <w:tc>
          <w:tcPr>
            <w:tcW w:w="4764" w:type="dxa"/>
          </w:tcPr>
          <w:p w14:paraId="1CEEA640" w14:textId="77777777" w:rsidR="00E14F0E" w:rsidRPr="00E14F0E" w:rsidRDefault="00E14F0E" w:rsidP="00E76406">
            <w:pPr>
              <w:jc w:val="both"/>
              <w:rPr>
                <w:rFonts w:asciiTheme="majorBidi" w:hAnsiTheme="majorBidi" w:cstheme="majorBidi"/>
                <w:color w:val="000000" w:themeColor="text1"/>
              </w:rPr>
            </w:pPr>
            <w:r w:rsidRPr="00E14F0E">
              <w:rPr>
                <w:rFonts w:asciiTheme="majorBidi" w:hAnsiTheme="majorBidi" w:cstheme="majorBidi"/>
                <w:color w:val="000000" w:themeColor="text1"/>
              </w:rPr>
              <w:t xml:space="preserve">The conventional lease agreements give unilateral </w:t>
            </w:r>
            <w:proofErr w:type="gramStart"/>
            <w:r w:rsidRPr="00E14F0E">
              <w:rPr>
                <w:rFonts w:asciiTheme="majorBidi" w:hAnsiTheme="majorBidi" w:cstheme="majorBidi"/>
                <w:color w:val="000000" w:themeColor="text1"/>
              </w:rPr>
              <w:t>right</w:t>
            </w:r>
            <w:proofErr w:type="gramEnd"/>
            <w:r w:rsidRPr="00E14F0E">
              <w:rPr>
                <w:rFonts w:asciiTheme="majorBidi" w:hAnsiTheme="majorBidi" w:cstheme="majorBidi"/>
                <w:color w:val="000000" w:themeColor="text1"/>
              </w:rPr>
              <w:t xml:space="preserve"> to bank to terminate the Lease Agreement without any reason.</w:t>
            </w:r>
          </w:p>
        </w:tc>
      </w:tr>
    </w:tbl>
    <w:p w14:paraId="0C6F28FE" w14:textId="088F71A6" w:rsidR="00E14F0E" w:rsidRDefault="00E14F0E"/>
    <w:p w14:paraId="0207A222" w14:textId="77777777" w:rsidR="00E14F0E" w:rsidRDefault="00E14F0E">
      <w:r>
        <w:br w:type="page"/>
      </w:r>
    </w:p>
    <w:p w14:paraId="32E4A4B5" w14:textId="77777777" w:rsidR="00E14F0E" w:rsidRDefault="00E14F0E"/>
    <w:tbl>
      <w:tblPr>
        <w:tblStyle w:val="TableGrid"/>
        <w:tblW w:w="9799" w:type="dxa"/>
        <w:tblLook w:val="04A0" w:firstRow="1" w:lastRow="0" w:firstColumn="1" w:lastColumn="0" w:noHBand="0" w:noVBand="1"/>
      </w:tblPr>
      <w:tblGrid>
        <w:gridCol w:w="779"/>
        <w:gridCol w:w="9020"/>
      </w:tblGrid>
      <w:tr w:rsidR="00E14F0E" w:rsidRPr="00E14F0E" w14:paraId="131EC159" w14:textId="77777777" w:rsidTr="00E14F0E">
        <w:trPr>
          <w:trHeight w:val="313"/>
        </w:trPr>
        <w:tc>
          <w:tcPr>
            <w:tcW w:w="9799" w:type="dxa"/>
            <w:gridSpan w:val="2"/>
            <w:shd w:val="clear" w:color="auto" w:fill="E2EFD9" w:themeFill="accent6" w:themeFillTint="33"/>
            <w:vAlign w:val="center"/>
          </w:tcPr>
          <w:p w14:paraId="239480D2" w14:textId="30AECB26" w:rsidR="00E14F0E" w:rsidRPr="00E14F0E" w:rsidRDefault="00E14F0E" w:rsidP="00E76406">
            <w:pPr>
              <w:jc w:val="center"/>
              <w:rPr>
                <w:rFonts w:asciiTheme="majorBidi" w:hAnsiTheme="majorBidi" w:cstheme="majorBidi"/>
                <w:b/>
                <w:bCs/>
                <w:color w:val="000000" w:themeColor="text1"/>
                <w:sz w:val="30"/>
                <w:szCs w:val="30"/>
              </w:rPr>
            </w:pPr>
            <w:r w:rsidRPr="00E14F0E">
              <w:rPr>
                <w:rFonts w:asciiTheme="majorBidi" w:hAnsiTheme="majorBidi" w:cstheme="majorBidi"/>
                <w:b/>
                <w:bCs/>
                <w:color w:val="000000" w:themeColor="text1"/>
                <w:sz w:val="30"/>
                <w:szCs w:val="30"/>
              </w:rPr>
              <w:t>Concept of Charity due to delay in Payment and Default</w:t>
            </w:r>
          </w:p>
        </w:tc>
      </w:tr>
      <w:tr w:rsidR="00E14F0E" w:rsidRPr="00E14F0E" w14:paraId="245DF0D4" w14:textId="77777777" w:rsidTr="00E14F0E">
        <w:trPr>
          <w:trHeight w:val="313"/>
        </w:trPr>
        <w:tc>
          <w:tcPr>
            <w:tcW w:w="779" w:type="dxa"/>
          </w:tcPr>
          <w:p w14:paraId="1DEC2AA2" w14:textId="77777777" w:rsidR="00E14F0E" w:rsidRPr="00E14F0E" w:rsidRDefault="00E14F0E" w:rsidP="00E76406">
            <w:pPr>
              <w:jc w:val="center"/>
              <w:rPr>
                <w:rFonts w:asciiTheme="majorBidi" w:hAnsiTheme="majorBidi" w:cstheme="majorBidi"/>
                <w:color w:val="000000" w:themeColor="text1"/>
              </w:rPr>
            </w:pPr>
          </w:p>
        </w:tc>
        <w:tc>
          <w:tcPr>
            <w:tcW w:w="9020" w:type="dxa"/>
          </w:tcPr>
          <w:p w14:paraId="082C3E47" w14:textId="77777777" w:rsidR="00E14F0E" w:rsidRPr="00E14F0E" w:rsidRDefault="00E14F0E" w:rsidP="00E76406">
            <w:pPr>
              <w:jc w:val="both"/>
              <w:rPr>
                <w:rFonts w:asciiTheme="majorBidi" w:hAnsiTheme="majorBidi" w:cstheme="majorBidi"/>
                <w:color w:val="000000" w:themeColor="text1"/>
              </w:rPr>
            </w:pPr>
            <w:r w:rsidRPr="00E14F0E">
              <w:rPr>
                <w:rFonts w:asciiTheme="majorBidi" w:hAnsiTheme="majorBidi" w:cstheme="majorBidi"/>
                <w:color w:val="000000" w:themeColor="text1"/>
              </w:rPr>
              <w:t xml:space="preserve">In conventional banking customers are required to pay penalty for delay in payment of installments in addition to the pre-agreed installment amount on due date and it becomes part of bank’s income. However, </w:t>
            </w:r>
            <w:proofErr w:type="gramStart"/>
            <w:r w:rsidRPr="00E14F0E">
              <w:rPr>
                <w:rFonts w:asciiTheme="majorBidi" w:hAnsiTheme="majorBidi" w:cstheme="majorBidi"/>
                <w:color w:val="000000" w:themeColor="text1"/>
              </w:rPr>
              <w:t>In</w:t>
            </w:r>
            <w:proofErr w:type="gramEnd"/>
            <w:r w:rsidRPr="00E14F0E">
              <w:rPr>
                <w:rFonts w:asciiTheme="majorBidi" w:hAnsiTheme="majorBidi" w:cstheme="majorBidi"/>
                <w:color w:val="000000" w:themeColor="text1"/>
              </w:rPr>
              <w:t xml:space="preserve"> order to avoid the above adverse consequences in Islamic banks, an alternative is that the client may be asked to undertake that if he fails to pay an instalment on its due date, he will pay a certain amount to charity accounts which will not become part of bank’s income in any way. For this purpose, the Islamic bank maintains a charity fund and disburses charity from it under the directions of the Shariah board of the bank and State Bank of Pakistan.</w:t>
            </w:r>
          </w:p>
        </w:tc>
      </w:tr>
    </w:tbl>
    <w:p w14:paraId="6D946917" w14:textId="62340D5F" w:rsidR="00E14F0E" w:rsidRDefault="00E14F0E"/>
    <w:p w14:paraId="4636016F" w14:textId="4774F94C" w:rsidR="00CB5C70" w:rsidRPr="00CB5C70" w:rsidRDefault="00CB5C70" w:rsidP="00180C36"/>
    <w:sectPr w:rsidR="00CB5C70" w:rsidRPr="00CB5C70" w:rsidSect="00CB5C70">
      <w:headerReference w:type="default" r:id="rId7"/>
      <w:footerReference w:type="default" r:id="rId8"/>
      <w:pgSz w:w="11906" w:h="16838" w:code="9"/>
      <w:pgMar w:top="21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F2E38" w14:textId="77777777" w:rsidR="00D0200D" w:rsidRDefault="00D0200D" w:rsidP="00CB5C70">
      <w:pPr>
        <w:spacing w:after="0" w:line="240" w:lineRule="auto"/>
      </w:pPr>
      <w:r>
        <w:separator/>
      </w:r>
    </w:p>
  </w:endnote>
  <w:endnote w:type="continuationSeparator" w:id="0">
    <w:p w14:paraId="49824CE7" w14:textId="77777777" w:rsidR="00D0200D" w:rsidRDefault="00D0200D" w:rsidP="00CB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CBC19" w14:textId="26BA3082" w:rsidR="00C60402" w:rsidRDefault="00C60402">
    <w:pPr>
      <w:pStyle w:val="Footer"/>
    </w:pPr>
  </w:p>
  <w:p w14:paraId="1C235638" w14:textId="4FE3A119" w:rsidR="00CB5C70" w:rsidRDefault="00C60402">
    <w:pPr>
      <w:pStyle w:val="Footer"/>
    </w:pPr>
    <w:r>
      <w:rPr>
        <w:noProof/>
      </w:rPr>
      <w:drawing>
        <wp:anchor distT="0" distB="0" distL="114300" distR="114300" simplePos="0" relativeHeight="251661312" behindDoc="1" locked="0" layoutInCell="1" allowOverlap="1" wp14:anchorId="1891E004" wp14:editId="7D0B0CCE">
          <wp:simplePos x="0" y="0"/>
          <wp:positionH relativeFrom="column">
            <wp:posOffset>-926123</wp:posOffset>
          </wp:positionH>
          <wp:positionV relativeFrom="page">
            <wp:posOffset>10398369</wp:posOffset>
          </wp:positionV>
          <wp:extent cx="7647026" cy="292540"/>
          <wp:effectExtent l="0" t="0" r="0" b="0"/>
          <wp:wrapTight wrapText="bothSides">
            <wp:wrapPolygon edited="0">
              <wp:start x="0" y="0"/>
              <wp:lineTo x="0" y="19722"/>
              <wp:lineTo x="21417" y="19722"/>
              <wp:lineTo x="21417" y="0"/>
              <wp:lineTo x="0" y="0"/>
            </wp:wrapPolygon>
          </wp:wrapTight>
          <wp:docPr id="23741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851874" name="Picture 509851874"/>
                  <pic:cNvPicPr/>
                </pic:nvPicPr>
                <pic:blipFill rotWithShape="1">
                  <a:blip r:embed="rId1">
                    <a:extLst>
                      <a:ext uri="{28A0092B-C50C-407E-A947-70E740481C1C}">
                        <a14:useLocalDpi xmlns:a14="http://schemas.microsoft.com/office/drawing/2010/main" val="0"/>
                      </a:ext>
                    </a:extLst>
                  </a:blip>
                  <a:srcRect l="-127" t="97258" r="-1115"/>
                  <a:stretch/>
                </pic:blipFill>
                <pic:spPr bwMode="auto">
                  <a:xfrm>
                    <a:off x="0" y="0"/>
                    <a:ext cx="7656635" cy="29290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AF463" w14:textId="77777777" w:rsidR="00D0200D" w:rsidRDefault="00D0200D" w:rsidP="00CB5C70">
      <w:pPr>
        <w:spacing w:after="0" w:line="240" w:lineRule="auto"/>
      </w:pPr>
      <w:r>
        <w:separator/>
      </w:r>
    </w:p>
  </w:footnote>
  <w:footnote w:type="continuationSeparator" w:id="0">
    <w:p w14:paraId="2CCC17C5" w14:textId="77777777" w:rsidR="00D0200D" w:rsidRDefault="00D0200D" w:rsidP="00CB5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A0F2" w14:textId="5D13DA10" w:rsidR="00CB5C70" w:rsidRDefault="00CB5C70" w:rsidP="00CB5C70">
    <w:pPr>
      <w:pStyle w:val="Header"/>
    </w:pPr>
    <w:r>
      <w:rPr>
        <w:noProof/>
      </w:rPr>
      <w:drawing>
        <wp:anchor distT="0" distB="0" distL="114300" distR="114300" simplePos="0" relativeHeight="251659264" behindDoc="1" locked="0" layoutInCell="1" allowOverlap="1" wp14:anchorId="3B12062E" wp14:editId="48C530D0">
          <wp:simplePos x="0" y="0"/>
          <wp:positionH relativeFrom="column">
            <wp:posOffset>-925830</wp:posOffset>
          </wp:positionH>
          <wp:positionV relativeFrom="page">
            <wp:posOffset>-69850</wp:posOffset>
          </wp:positionV>
          <wp:extent cx="7562850" cy="967105"/>
          <wp:effectExtent l="0" t="0" r="0" b="4445"/>
          <wp:wrapTight wrapText="bothSides">
            <wp:wrapPolygon edited="0">
              <wp:start x="0" y="0"/>
              <wp:lineTo x="0" y="21274"/>
              <wp:lineTo x="21546" y="21274"/>
              <wp:lineTo x="21546" y="0"/>
              <wp:lineTo x="0" y="0"/>
            </wp:wrapPolygon>
          </wp:wrapTight>
          <wp:docPr id="2048975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851874" name="Picture 509851874"/>
                  <pic:cNvPicPr/>
                </pic:nvPicPr>
                <pic:blipFill rotWithShape="1">
                  <a:blip r:embed="rId1">
                    <a:extLst>
                      <a:ext uri="{28A0092B-C50C-407E-A947-70E740481C1C}">
                        <a14:useLocalDpi xmlns:a14="http://schemas.microsoft.com/office/drawing/2010/main" val="0"/>
                      </a:ext>
                    </a:extLst>
                  </a:blip>
                  <a:srcRect b="90956"/>
                  <a:stretch/>
                </pic:blipFill>
                <pic:spPr bwMode="auto">
                  <a:xfrm>
                    <a:off x="0" y="0"/>
                    <a:ext cx="7562850" cy="9671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C38A4"/>
    <w:multiLevelType w:val="hybridMultilevel"/>
    <w:tmpl w:val="94E2244A"/>
    <w:lvl w:ilvl="0" w:tplc="F958304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11B0A"/>
    <w:multiLevelType w:val="hybridMultilevel"/>
    <w:tmpl w:val="E3524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226629">
    <w:abstractNumId w:val="1"/>
  </w:num>
  <w:num w:numId="2" w16cid:durableId="1968854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C70"/>
    <w:rsid w:val="00047E97"/>
    <w:rsid w:val="00142CDA"/>
    <w:rsid w:val="00180C36"/>
    <w:rsid w:val="001E266B"/>
    <w:rsid w:val="00423E01"/>
    <w:rsid w:val="0056408F"/>
    <w:rsid w:val="005F48D2"/>
    <w:rsid w:val="006F3609"/>
    <w:rsid w:val="006F4A82"/>
    <w:rsid w:val="0070282D"/>
    <w:rsid w:val="007F53D8"/>
    <w:rsid w:val="00C26F81"/>
    <w:rsid w:val="00C60402"/>
    <w:rsid w:val="00CB5C70"/>
    <w:rsid w:val="00D0200D"/>
    <w:rsid w:val="00D52772"/>
    <w:rsid w:val="00E14F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CBE9A8"/>
  <w15:chartTrackingRefBased/>
  <w15:docId w15:val="{C914D322-F65C-4B0A-8792-AC861AAB9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C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5C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5C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5C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5C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5C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C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C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C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C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5C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5C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5C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5C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5C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C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C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C70"/>
    <w:rPr>
      <w:rFonts w:eastAsiaTheme="majorEastAsia" w:cstheme="majorBidi"/>
      <w:color w:val="272727" w:themeColor="text1" w:themeTint="D8"/>
    </w:rPr>
  </w:style>
  <w:style w:type="paragraph" w:styleId="Title">
    <w:name w:val="Title"/>
    <w:basedOn w:val="Normal"/>
    <w:next w:val="Normal"/>
    <w:link w:val="TitleChar"/>
    <w:uiPriority w:val="10"/>
    <w:qFormat/>
    <w:rsid w:val="00CB5C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C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C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C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C70"/>
    <w:pPr>
      <w:spacing w:before="160"/>
      <w:jc w:val="center"/>
    </w:pPr>
    <w:rPr>
      <w:i/>
      <w:iCs/>
      <w:color w:val="404040" w:themeColor="text1" w:themeTint="BF"/>
    </w:rPr>
  </w:style>
  <w:style w:type="character" w:customStyle="1" w:styleId="QuoteChar">
    <w:name w:val="Quote Char"/>
    <w:basedOn w:val="DefaultParagraphFont"/>
    <w:link w:val="Quote"/>
    <w:uiPriority w:val="29"/>
    <w:rsid w:val="00CB5C70"/>
    <w:rPr>
      <w:i/>
      <w:iCs/>
      <w:color w:val="404040" w:themeColor="text1" w:themeTint="BF"/>
    </w:rPr>
  </w:style>
  <w:style w:type="paragraph" w:styleId="ListParagraph">
    <w:name w:val="List Paragraph"/>
    <w:basedOn w:val="Normal"/>
    <w:uiPriority w:val="34"/>
    <w:qFormat/>
    <w:rsid w:val="00CB5C70"/>
    <w:pPr>
      <w:ind w:left="720"/>
      <w:contextualSpacing/>
    </w:pPr>
  </w:style>
  <w:style w:type="character" w:styleId="IntenseEmphasis">
    <w:name w:val="Intense Emphasis"/>
    <w:basedOn w:val="DefaultParagraphFont"/>
    <w:uiPriority w:val="21"/>
    <w:qFormat/>
    <w:rsid w:val="00CB5C70"/>
    <w:rPr>
      <w:i/>
      <w:iCs/>
      <w:color w:val="2F5496" w:themeColor="accent1" w:themeShade="BF"/>
    </w:rPr>
  </w:style>
  <w:style w:type="paragraph" w:styleId="IntenseQuote">
    <w:name w:val="Intense Quote"/>
    <w:basedOn w:val="Normal"/>
    <w:next w:val="Normal"/>
    <w:link w:val="IntenseQuoteChar"/>
    <w:uiPriority w:val="30"/>
    <w:qFormat/>
    <w:rsid w:val="00CB5C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5C70"/>
    <w:rPr>
      <w:i/>
      <w:iCs/>
      <w:color w:val="2F5496" w:themeColor="accent1" w:themeShade="BF"/>
    </w:rPr>
  </w:style>
  <w:style w:type="character" w:styleId="IntenseReference">
    <w:name w:val="Intense Reference"/>
    <w:basedOn w:val="DefaultParagraphFont"/>
    <w:uiPriority w:val="32"/>
    <w:qFormat/>
    <w:rsid w:val="00CB5C70"/>
    <w:rPr>
      <w:b/>
      <w:bCs/>
      <w:smallCaps/>
      <w:color w:val="2F5496" w:themeColor="accent1" w:themeShade="BF"/>
      <w:spacing w:val="5"/>
    </w:rPr>
  </w:style>
  <w:style w:type="paragraph" w:styleId="Header">
    <w:name w:val="header"/>
    <w:basedOn w:val="Normal"/>
    <w:link w:val="HeaderChar"/>
    <w:uiPriority w:val="99"/>
    <w:unhideWhenUsed/>
    <w:rsid w:val="00CB5C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C70"/>
  </w:style>
  <w:style w:type="paragraph" w:styleId="Footer">
    <w:name w:val="footer"/>
    <w:basedOn w:val="Normal"/>
    <w:link w:val="FooterChar"/>
    <w:uiPriority w:val="99"/>
    <w:unhideWhenUsed/>
    <w:rsid w:val="00CB5C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C70"/>
  </w:style>
  <w:style w:type="table" w:styleId="TableGrid">
    <w:name w:val="Table Grid"/>
    <w:basedOn w:val="TableNormal"/>
    <w:uiPriority w:val="39"/>
    <w:rsid w:val="00E14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Khalid Shah</cp:lastModifiedBy>
  <cp:revision>4</cp:revision>
  <dcterms:created xsi:type="dcterms:W3CDTF">2026-04-09T12:37:00Z</dcterms:created>
  <dcterms:modified xsi:type="dcterms:W3CDTF">2026-04-09T12:39:00Z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16d53cab-ee76-4e7b-97c1-583e8079079d</vt:lpwstr>
  </property>
</Properties>
</file>